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100"/>
        <w:jc w:val="start"/>
        <w:rPr/>
      </w:pPr>
      <w:r>
        <w:rPr/>
        <w:t>Terms and Conditions</w:t>
      </w:r>
    </w:p>
    <w:p>
      <w:pPr>
        <w:pStyle w:val="Normal"/>
        <w:bidi w:val="0"/>
        <w:spacing w:before="0" w:after="280"/>
        <w:jc w:val="start"/>
        <w:rPr>
          <w:rFonts w:ascii="Aptos" w:hAnsi="Aptos"/>
          <w:b w:val="false"/>
          <w:i w:val="false"/>
          <w:color w:val="586069"/>
          <w:sz w:val="18"/>
        </w:rPr>
      </w:pPr>
      <w:r>
        <w:rPr/>
      </w:r>
    </w:p>
    <w:tbl>
      <w:tblPr>
        <w:tblW w:w="9360" w:type="dxa"/>
        <w:jc w:val="center"/>
        <w:tblInd w:w="0" w:type="dxa"/>
        <w:tblLayout w:type="fixed"/>
        <w:tblCellMar>
          <w:top w:w="100" w:type="dxa"/>
          <w:start w:w="120" w:type="dxa"/>
          <w:bottom w:w="100" w:type="dxa"/>
          <w:end w:w="120" w:type="dxa"/>
        </w:tblCellMar>
        <w:tblLook w:val="04a0" w:firstRow="1" w:noVBand="1" w:lastRow="0" w:firstColumn="1" w:lastColumn="0" w:noHBand="0"/>
      </w:tblPr>
      <w:tblGrid>
        <w:gridCol w:w="9360"/>
      </w:tblGrid>
      <w:tr>
        <w:trPr/>
        <w:tc>
          <w:tcPr>
            <w:tcW w:w="9360" w:type="dxa"/>
            <w:tcBorders/>
            <w:shd w:fill="EEF2F5" w:val="clear"/>
          </w:tcPr>
          <w:p>
            <w:pPr>
              <w:pStyle w:val="Normal"/>
              <w:bidi w:val="0"/>
              <w:spacing w:before="0" w:after="60"/>
              <w:jc w:val="start"/>
              <w:rPr/>
            </w:pPr>
            <w:r>
              <w:rPr>
                <w:rFonts w:ascii="Aptos" w:hAnsi="Aptos"/>
                <w:b/>
                <w:i w:val="false"/>
                <w:color w:val="132B3F"/>
                <w:sz w:val="21"/>
              </w:rPr>
              <w:t xml:space="preserve">Plain-language summary:  </w:t>
            </w:r>
            <w:r>
              <w:rPr>
                <w:rFonts w:ascii="Aptos" w:hAnsi="Aptos"/>
                <w:b w:val="false"/>
                <w:i w:val="false"/>
                <w:color w:val="000000"/>
                <w:sz w:val="21"/>
              </w:rPr>
              <w:t>These terms govern use of the website and all purchases from Fire Alarm Parts, LLC.</w:t>
            </w:r>
          </w:p>
        </w:tc>
      </w:tr>
    </w:tbl>
    <w:p>
      <w:pPr>
        <w:pStyle w:val="Normal"/>
        <w:bidi w:val="0"/>
        <w:spacing w:before="0" w:after="20"/>
        <w:jc w:val="start"/>
        <w:rPr/>
      </w:pPr>
      <w:r>
        <w:rPr/>
      </w:r>
    </w:p>
    <w:p>
      <w:pPr>
        <w:pStyle w:val="BodyText"/>
        <w:keepLines/>
        <w:bidi w:val="0"/>
        <w:jc w:val="start"/>
        <w:rPr/>
      </w:pPr>
      <w:r>
        <w:rPr>
          <w:rFonts w:ascii="Aptos" w:hAnsi="Aptos"/>
          <w:b w:val="false"/>
          <w:i w:val="false"/>
          <w:color w:val="000000"/>
          <w:sz w:val="20"/>
        </w:rPr>
        <w:t>These Terms and Conditions (the "Terms") govern your access to and use of firealarmpartsllc.com (the "Site") and your purchase of products from Fito Technology LLC, doing business as Fire Alarm Parts, LLC ("Fire Alarm Parts," "we," "us," or "our"). By accessing the Site, creating an account, submitting an order, or affirmatively accepting these Terms at checkout, you agree to be bound by them. If you do not agree, do not use the Site or place an order.</w:t>
      </w:r>
    </w:p>
    <w:p>
      <w:pPr>
        <w:pStyle w:val="Heading2"/>
        <w:keepNext w:val="true"/>
        <w:bidi w:val="0"/>
        <w:jc w:val="start"/>
        <w:rPr/>
      </w:pPr>
      <w:r>
        <w:rPr/>
        <w:t>1. Eligibility and account responsibility</w:t>
      </w:r>
    </w:p>
    <w:p>
      <w:pPr>
        <w:pStyle w:val="BodyText"/>
        <w:keepLines/>
        <w:bidi w:val="0"/>
        <w:jc w:val="start"/>
        <w:rPr/>
      </w:pPr>
      <w:r>
        <w:rPr>
          <w:rFonts w:ascii="Aptos" w:hAnsi="Aptos"/>
          <w:b w:val="false"/>
          <w:i w:val="false"/>
          <w:color w:val="000000"/>
          <w:sz w:val="20"/>
        </w:rPr>
        <w:t>You must be at least 18 years old and legally capable of entering a contract. If you act for a company, government agency, contractor, property owner, or other organization, you represent that you have authority to bind it. You are responsible for accurate account information, maintaining password confidentiality, and all activity under your account. Notify us promptly of suspected unauthorized use.</w:t>
      </w:r>
    </w:p>
    <w:p>
      <w:pPr>
        <w:pStyle w:val="Heading2"/>
        <w:keepNext w:val="true"/>
        <w:bidi w:val="0"/>
        <w:jc w:val="start"/>
        <w:rPr/>
      </w:pPr>
      <w:r>
        <w:rPr/>
        <w:t>2. Product information and availability</w:t>
      </w:r>
    </w:p>
    <w:p>
      <w:pPr>
        <w:pStyle w:val="BodyText"/>
        <w:keepLines/>
        <w:bidi w:val="0"/>
        <w:jc w:val="start"/>
        <w:rPr/>
      </w:pPr>
      <w:r>
        <w:rPr>
          <w:rFonts w:ascii="Aptos" w:hAnsi="Aptos"/>
          <w:b w:val="false"/>
          <w:i w:val="false"/>
          <w:color w:val="000000"/>
          <w:sz w:val="20"/>
        </w:rPr>
        <w:t>We make reasonable efforts to describe products accurately, but photographs, colors, labels, dates, packaging, revisions, firmware, accessories, and cosmetic condition may vary. Manufacturer names and part numbers are included for identification and compatibility reference. Product availability is not guaranteed. We may correct errors, update information, limit quantities, reject or cancel orders, or withdraw products at any time. If we cancel a paid order, we will refund the amount collected for the canceled item.</w:t>
      </w:r>
    </w:p>
    <w:p>
      <w:pPr>
        <w:pStyle w:val="Heading2"/>
        <w:keepNext w:val="true"/>
        <w:bidi w:val="0"/>
        <w:jc w:val="start"/>
        <w:rPr/>
      </w:pPr>
      <w:r>
        <w:rPr/>
        <w:t>3. Independent reseller; no manufacturer affiliation</w:t>
      </w:r>
    </w:p>
    <w:p>
      <w:pPr>
        <w:pStyle w:val="BodyText"/>
        <w:keepLines/>
        <w:bidi w:val="0"/>
        <w:jc w:val="start"/>
        <w:rPr/>
      </w:pPr>
      <w:r>
        <w:rPr>
          <w:rFonts w:ascii="Aptos" w:hAnsi="Aptos"/>
          <w:b w:val="false"/>
          <w:i w:val="false"/>
          <w:color w:val="000000"/>
          <w:sz w:val="20"/>
        </w:rPr>
        <w:t>Fire Alarm Parts is an independent reseller. Unless expressly stated, we are not affiliated with, authorized by, endorsed by, or sponsored by Siemens, Cerberus Pyrotronics, Simplex, Notifier, Honeywell, Edwards, EST, Gamewell-FCI, Tyco, Zurn, or any other manufacturer or trademark owner. All third-party marks belong to their respective owners.</w:t>
      </w:r>
    </w:p>
    <w:p>
      <w:pPr>
        <w:pStyle w:val="Heading2"/>
        <w:keepNext w:val="true"/>
        <w:bidi w:val="0"/>
        <w:jc w:val="start"/>
        <w:rPr/>
      </w:pPr>
      <w:r>
        <w:rPr/>
        <w:t>4. Orders, acceptance, pricing, and taxes</w:t>
      </w:r>
    </w:p>
    <w:p>
      <w:pPr>
        <w:pStyle w:val="BodyText"/>
        <w:keepLines/>
        <w:bidi w:val="0"/>
        <w:jc w:val="start"/>
        <w:rPr/>
      </w:pPr>
      <w:r>
        <w:rPr>
          <w:rFonts w:ascii="Aptos" w:hAnsi="Aptos"/>
          <w:b w:val="false"/>
          <w:i w:val="false"/>
          <w:color w:val="000000"/>
          <w:sz w:val="20"/>
        </w:rPr>
        <w:t>An order is an offer to purchase. An automated confirmation only acknowledges receipt and does not constitute acceptance. We accept an order when we ship the product or otherwise provide written acceptance. Prices are in U.S. dollars unless stated otherwise. You are responsible for applicable taxes, duties, permits, brokerage charges, and government fees. We may refuse transactions affected by pricing mistakes, suspected fraud, export restrictions, inventory errors, payment failure, or legal or safety concerns.</w:t>
      </w:r>
    </w:p>
    <w:p>
      <w:pPr>
        <w:pStyle w:val="Heading2"/>
        <w:keepNext w:val="true"/>
        <w:bidi w:val="0"/>
        <w:jc w:val="start"/>
        <w:rPr/>
      </w:pPr>
      <w:r>
        <w:rPr/>
        <w:t>5. Payment authorization and verification</w:t>
      </w:r>
    </w:p>
    <w:p>
      <w:pPr>
        <w:pStyle w:val="BodyText"/>
        <w:keepLines/>
        <w:bidi w:val="0"/>
        <w:jc w:val="start"/>
        <w:rPr/>
      </w:pPr>
      <w:r>
        <w:rPr>
          <w:rFonts w:ascii="Aptos" w:hAnsi="Aptos"/>
          <w:b w:val="false"/>
          <w:i w:val="false"/>
          <w:color w:val="000000"/>
          <w:sz w:val="20"/>
        </w:rPr>
        <w:t>You authorize us and our payment providers to charge the payment method submitted for the order total and any separately approved adjustment. We may request identity, billing, shipping, resale, or authorization documents; place an order on hold; require signature delivery; or cancel an order when verification is incomplete. We do not guarantee that a temporary authorization hold will be released on a particular schedule because release timing is controlled by the financial institution.</w:t>
      </w:r>
    </w:p>
    <w:p>
      <w:pPr>
        <w:pStyle w:val="Heading2"/>
        <w:keepNext w:val="true"/>
        <w:bidi w:val="0"/>
        <w:jc w:val="start"/>
        <w:rPr/>
      </w:pPr>
      <w:r>
        <w:rPr/>
        <w:t>6. Shipping, risk of loss, and title</w:t>
      </w:r>
    </w:p>
    <w:p>
      <w:pPr>
        <w:pStyle w:val="BodyText"/>
        <w:keepLines/>
        <w:bidi w:val="0"/>
        <w:jc w:val="start"/>
        <w:rPr/>
      </w:pPr>
      <w:r>
        <w:rPr>
          <w:rFonts w:ascii="Aptos" w:hAnsi="Aptos"/>
          <w:b w:val="false"/>
          <w:i w:val="false"/>
          <w:color w:val="000000"/>
          <w:sz w:val="20"/>
        </w:rPr>
        <w:t>Shipping estimates are not guarantees. Our Shipping and Delivery Policy and Damaged or Lost Shipment Policy are incorporated into these Terms. Title and risk of loss pass as provided by applicable law and the shipping contract; nothing in these Terms limits rights that cannot lawfully be waived. You must provide a secure and deliverable address and promptly inspect shipments.</w:t>
      </w:r>
    </w:p>
    <w:p>
      <w:pPr>
        <w:pStyle w:val="Heading2"/>
        <w:keepNext w:val="true"/>
        <w:bidi w:val="0"/>
        <w:jc w:val="start"/>
        <w:rPr/>
      </w:pPr>
      <w:r>
        <w:rPr/>
        <w:t>7. Returns, product condition, and warranties</w:t>
      </w:r>
    </w:p>
    <w:p>
      <w:pPr>
        <w:pStyle w:val="BodyText"/>
        <w:keepLines/>
        <w:bidi w:val="0"/>
        <w:jc w:val="start"/>
        <w:rPr/>
      </w:pPr>
      <w:r>
        <w:rPr>
          <w:rFonts w:ascii="Aptos" w:hAnsi="Aptos"/>
          <w:b w:val="false"/>
          <w:i w:val="false"/>
          <w:color w:val="000000"/>
          <w:sz w:val="20"/>
        </w:rPr>
        <w:t>The Returns and Refunds Policy, Product Condition Policy, and Warranty Policy are incorporated into these Terms. Product condition and any written warranty are controlled by the individual listing and those policies. No employee or contractor may create an additional warranty unless it is in a written document expressly authorized by Fire Alarm Parts.</w:t>
      </w:r>
    </w:p>
    <w:p>
      <w:pPr>
        <w:pStyle w:val="Heading2"/>
        <w:keepNext w:val="true"/>
        <w:bidi w:val="0"/>
        <w:jc w:val="start"/>
        <w:rPr/>
      </w:pPr>
      <w:r>
        <w:rPr/>
        <w:t>8. Buyer compatibility and professional-use obligations</w:t>
      </w:r>
    </w:p>
    <w:p>
      <w:pPr>
        <w:pStyle w:val="BodyText"/>
        <w:keepLines/>
        <w:bidi w:val="0"/>
        <w:jc w:val="start"/>
        <w:rPr/>
      </w:pPr>
      <w:r>
        <w:rPr>
          <w:rFonts w:ascii="Aptos" w:hAnsi="Aptos"/>
          <w:b w:val="false"/>
          <w:i w:val="false"/>
          <w:color w:val="000000"/>
          <w:sz w:val="20"/>
        </w:rPr>
        <w:t>You are solely responsible for confirming part number, revision, listing status, voltage, protocol, panel compatibility, firmware, programming, listings or approvals, code requirements, and suitability before purchase and installation. Recommendations, search results, messages, and product descriptions are informational and are not engineering, code-compliance, installation, or life-safety certification advice. Equipment must be evaluated, installed, programmed, tested, inspected, maintained, and documented by appropriately qualified or licensed professionals where required.</w:t>
      </w:r>
    </w:p>
    <w:p>
      <w:pPr>
        <w:pStyle w:val="Heading2"/>
        <w:keepNext w:val="true"/>
        <w:bidi w:val="0"/>
        <w:jc w:val="start"/>
        <w:rPr/>
      </w:pPr>
      <w:r>
        <w:rPr/>
        <w:t>9. Prohibited conduct</w:t>
      </w:r>
    </w:p>
    <w:p>
      <w:pPr>
        <w:pStyle w:val="ListBullet"/>
        <w:keepLines/>
        <w:numPr>
          <w:ilvl w:val="0"/>
          <w:numId w:val="1"/>
        </w:numPr>
        <w:bidi w:val="0"/>
        <w:spacing w:lineRule="auto" w:line="250" w:before="0" w:after="60"/>
        <w:contextualSpacing/>
        <w:jc w:val="start"/>
        <w:rPr/>
      </w:pPr>
      <w:r>
        <w:rPr>
          <w:b w:val="false"/>
          <w:i w:val="false"/>
          <w:color w:val="000000"/>
          <w:sz w:val="20"/>
        </w:rPr>
        <w:t>Use the Site unlawfully, fraudulently, or to infringe another person's rights.</w:t>
      </w:r>
    </w:p>
    <w:p>
      <w:pPr>
        <w:pStyle w:val="ListBullet"/>
        <w:keepLines/>
        <w:numPr>
          <w:ilvl w:val="0"/>
          <w:numId w:val="1"/>
        </w:numPr>
        <w:bidi w:val="0"/>
        <w:spacing w:lineRule="auto" w:line="250" w:before="0" w:after="60"/>
        <w:contextualSpacing/>
        <w:jc w:val="start"/>
        <w:rPr/>
      </w:pPr>
      <w:r>
        <w:rPr>
          <w:b w:val="false"/>
          <w:i w:val="false"/>
          <w:color w:val="000000"/>
          <w:sz w:val="20"/>
        </w:rPr>
        <w:t>Attempt to bypass security, scrape restricted content, introduce malware, interfere with checkout, or access nonpublic systems or data.</w:t>
      </w:r>
    </w:p>
    <w:p>
      <w:pPr>
        <w:pStyle w:val="ListBullet"/>
        <w:keepLines/>
        <w:numPr>
          <w:ilvl w:val="0"/>
          <w:numId w:val="1"/>
        </w:numPr>
        <w:bidi w:val="0"/>
        <w:spacing w:lineRule="auto" w:line="250" w:before="0" w:after="60"/>
        <w:contextualSpacing/>
        <w:jc w:val="start"/>
        <w:rPr/>
      </w:pPr>
      <w:r>
        <w:rPr>
          <w:b w:val="false"/>
          <w:i w:val="false"/>
          <w:color w:val="000000"/>
          <w:sz w:val="20"/>
        </w:rPr>
        <w:t>Submit false identity, payment, resale, tax, shipping, warranty, or return information.</w:t>
      </w:r>
    </w:p>
    <w:p>
      <w:pPr>
        <w:pStyle w:val="ListBullet"/>
        <w:keepLines/>
        <w:numPr>
          <w:ilvl w:val="0"/>
          <w:numId w:val="1"/>
        </w:numPr>
        <w:bidi w:val="0"/>
        <w:spacing w:lineRule="auto" w:line="250" w:before="0" w:after="60"/>
        <w:contextualSpacing/>
        <w:jc w:val="start"/>
        <w:rPr/>
      </w:pPr>
      <w:r>
        <w:rPr>
          <w:b w:val="false"/>
          <w:i w:val="false"/>
          <w:color w:val="000000"/>
          <w:sz w:val="20"/>
        </w:rPr>
        <w:t>Resell, install, or represent products in a manner that violates law, code, listing, licensing, export, sanctions, or manufacturer requirements.</w:t>
      </w:r>
    </w:p>
    <w:p>
      <w:pPr>
        <w:pStyle w:val="Heading2"/>
        <w:keepNext w:val="true"/>
        <w:bidi w:val="0"/>
        <w:jc w:val="start"/>
        <w:rPr/>
      </w:pPr>
      <w:r>
        <w:rPr/>
        <w:t>10. Site content and third-party services</w:t>
      </w:r>
    </w:p>
    <w:p>
      <w:pPr>
        <w:pStyle w:val="BodyText"/>
        <w:keepLines/>
        <w:bidi w:val="0"/>
        <w:jc w:val="start"/>
        <w:rPr/>
      </w:pPr>
      <w:r>
        <w:rPr>
          <w:rFonts w:ascii="Aptos" w:hAnsi="Aptos"/>
          <w:b w:val="false"/>
          <w:i w:val="false"/>
          <w:color w:val="000000"/>
          <w:sz w:val="20"/>
        </w:rPr>
        <w:t>Site content is provided for general commercial information. Links and integrations may be operated by third parties under their own terms and privacy practices. We are not responsible for third-party sites, carriers, payment networks, hosting providers, or services beyond the extent required by law.</w:t>
      </w:r>
    </w:p>
    <w:p>
      <w:pPr>
        <w:pStyle w:val="Heading2"/>
        <w:keepNext w:val="true"/>
        <w:bidi w:val="0"/>
        <w:jc w:val="start"/>
        <w:rPr/>
      </w:pPr>
      <w:r>
        <w:rPr/>
        <w:t>11. Disclaimers</w:t>
      </w:r>
    </w:p>
    <w:p>
      <w:pPr>
        <w:pStyle w:val="BodyText"/>
        <w:keepLines/>
        <w:bidi w:val="0"/>
        <w:jc w:val="start"/>
        <w:rPr/>
      </w:pPr>
      <w:r>
        <w:rPr>
          <w:rFonts w:ascii="Aptos" w:hAnsi="Aptos"/>
          <w:b w:val="false"/>
          <w:i w:val="false"/>
          <w:color w:val="000000"/>
          <w:sz w:val="20"/>
        </w:rPr>
        <w:t>TO THE MAXIMUM EXTENT PERMITTED BY LAW, THE SITE IS PROVIDED "AS IS" AND "AS AVAILABLE." EXCEPT FOR EXPRESS WRITTEN WARRANTIES AND RIGHTS THAT CANNOT BE DISCLAIMED, WE DISCLAIM IMPLIED WARRANTIES, INCLUDING MERCHANTABILITY, FITNESS FOR A PARTICULAR PURPOSE, TITLE, AND NON-INFRINGEMENT. SOME JURISDICTIONS DO NOT ALLOW CERTAIN DISCLAIMERS, SO THESE LIMITATIONS APPLY ONLY TO THE EXTENT LAWFUL.</w:t>
      </w:r>
    </w:p>
    <w:p>
      <w:pPr>
        <w:pStyle w:val="Heading2"/>
        <w:keepNext w:val="true"/>
        <w:bidi w:val="0"/>
        <w:jc w:val="start"/>
        <w:rPr/>
      </w:pPr>
      <w:r>
        <w:rPr/>
        <w:t>12. Limitation of liability</w:t>
      </w:r>
    </w:p>
    <w:p>
      <w:pPr>
        <w:pStyle w:val="BodyText"/>
        <w:keepLines/>
        <w:bidi w:val="0"/>
        <w:jc w:val="start"/>
        <w:rPr/>
      </w:pPr>
      <w:r>
        <w:rPr>
          <w:rFonts w:ascii="Aptos" w:hAnsi="Aptos"/>
          <w:b w:val="false"/>
          <w:i w:val="false"/>
          <w:color w:val="000000"/>
          <w:sz w:val="20"/>
        </w:rPr>
        <w:t>TO THE MAXIMUM EXTENT PERMITTED BY LAW, FIRE ALARM PARTS AND Fito Technology LLC WILL NOT BE LIABLE FOR INDIRECT, INCIDENTAL, SPECIAL, EXEMPLARY, PUNITIVE, OR CONSEQUENTIAL DAMAGES; LOST PROFITS, REVENUE, DATA, USE, OR BUSINESS; SYSTEM DOWNTIME; PROJECT DELAY; OR THE COST OF SUBSTITUTE LABOR OR EQUIPMENT ARISING FROM THE SITE OR PRODUCTS. OUR AGGREGATE LIABILITY FOR A CLAIM WILL NOT EXCEED THE AMOUNT PAID FOR THE PRODUCT GIVING RISE TO THAT CLAIM. THESE LIMITATIONS DO NOT APPLY TO LIABILITY THAT CANNOT LAWFULLY BE LIMITED, INCLUDING AS APPLICABLE LIABILITY FOR FRAUD, WILLFUL MISCONDUCT, OR PERSONAL INJURY CAUSED BY LEGALLY NON-WAIVABLE CONDUCT.</w:t>
      </w:r>
    </w:p>
    <w:p>
      <w:pPr>
        <w:pStyle w:val="Heading2"/>
        <w:keepNext w:val="true"/>
        <w:bidi w:val="0"/>
        <w:jc w:val="start"/>
        <w:rPr/>
      </w:pPr>
      <w:r>
        <w:rPr/>
        <w:t>13. Indemnification</w:t>
      </w:r>
    </w:p>
    <w:p>
      <w:pPr>
        <w:pStyle w:val="BodyText"/>
        <w:keepLines/>
        <w:bidi w:val="0"/>
        <w:jc w:val="start"/>
        <w:rPr/>
      </w:pPr>
      <w:r>
        <w:rPr>
          <w:rFonts w:ascii="Aptos" w:hAnsi="Aptos"/>
          <w:b w:val="false"/>
          <w:i w:val="false"/>
          <w:color w:val="000000"/>
          <w:sz w:val="20"/>
        </w:rPr>
        <w:t>To the extent permitted by law, you agree to defend, indemnify, and hold harmless Fito Technology LLC, Fire Alarm Parts, and their members, employees, contractors, and agents from third-party claims, losses, liabilities, and reasonable expenses arising from your unlawful use of the Site, unauthorized or improper installation or resale, modification of products, violation of code or licensing requirements, or breach of these Terms. This obligation does not apply to the extent a claim results from our legally established wrongful conduct.</w:t>
      </w:r>
    </w:p>
    <w:p>
      <w:pPr>
        <w:pStyle w:val="Heading2"/>
        <w:keepNext w:val="true"/>
        <w:bidi w:val="0"/>
        <w:jc w:val="start"/>
        <w:rPr/>
      </w:pPr>
      <w:r>
        <w:rPr/>
        <w:t>14. Governing law and disputes</w:t>
      </w:r>
    </w:p>
    <w:p>
      <w:pPr>
        <w:pStyle w:val="BodyText"/>
        <w:keepLines/>
        <w:bidi w:val="0"/>
        <w:jc w:val="start"/>
        <w:rPr/>
      </w:pPr>
      <w:r>
        <w:rPr>
          <w:rFonts w:ascii="Aptos" w:hAnsi="Aptos"/>
          <w:b w:val="false"/>
          <w:i w:val="false"/>
          <w:color w:val="000000"/>
          <w:sz w:val="20"/>
        </w:rPr>
        <w:t>California law governs these Terms without regard to conflict-of-law principles. Before filing a lawsuit, the parties should attempt in good faith for at least 30 days to resolve the dispute by written notice. Unless applicable law requires otherwise, exclusive venue will lie in the state or federal courts serving Kern County, California. Eligible claims may be brought in small claims court. Nothing here prevents either party from seeking urgent injunctive relief or exercising non-waivable consumer rights.</w:t>
      </w:r>
    </w:p>
    <w:p>
      <w:pPr>
        <w:pStyle w:val="Heading2"/>
        <w:keepNext w:val="true"/>
        <w:bidi w:val="0"/>
        <w:jc w:val="start"/>
        <w:rPr/>
      </w:pPr>
      <w:r>
        <w:rPr/>
        <w:t>15. Changes; severability; entire agreement</w:t>
      </w:r>
    </w:p>
    <w:p>
      <w:pPr>
        <w:pStyle w:val="BodyText"/>
        <w:keepLines/>
        <w:bidi w:val="0"/>
        <w:jc w:val="start"/>
        <w:rPr/>
      </w:pPr>
      <w:r>
        <w:rPr>
          <w:rFonts w:ascii="Aptos" w:hAnsi="Aptos"/>
          <w:b w:val="false"/>
          <w:i w:val="false"/>
          <w:color w:val="000000"/>
          <w:sz w:val="20"/>
        </w:rPr>
        <w:t>We may update these Terms prospectively by posting a revised effective date. The version accepted with an order governs that transaction unless law requires otherwise. If a provision is unenforceable, it will be limited to the minimum extent necessary and the remainder will continue. These Terms and incorporated policies are the entire agreement regarding the Site and purchases, except for an expressly signed written agreement.</w:t>
      </w:r>
    </w:p>
    <w:p>
      <w:pPr>
        <w:pStyle w:val="Heading2"/>
        <w:keepNext w:val="true"/>
        <w:bidi w:val="0"/>
        <w:jc w:val="start"/>
        <w:rPr/>
      </w:pPr>
      <w:r>
        <w:rPr/>
        <w:t>16. Contact</w:t>
      </w:r>
    </w:p>
    <w:p>
      <w:pPr>
        <w:pStyle w:val="BodyText"/>
        <w:keepLines/>
        <w:bidi w:val="0"/>
        <w:spacing w:before="0" w:after="140"/>
        <w:jc w:val="start"/>
        <w:rPr/>
      </w:pPr>
      <w:r>
        <w:rPr>
          <w:rFonts w:ascii="Aptos" w:hAnsi="Aptos"/>
          <w:b w:val="false"/>
          <w:i w:val="false"/>
          <w:color w:val="000000"/>
          <w:sz w:val="20"/>
        </w:rPr>
        <w:t>Fito Technology LLC d/b/a Fire Alarm Parts, LLC, 6336 Wofford Blvd, Suite 512, Wofford Heights, CA 93285. Email: info@firealarmpartsllc.com. Phone: 661-473-9353.</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Aptos">
    <w:charset w:val="00" w:characterSet="windows-1252"/>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Normal"/>
    <w:next w:val="Normal"/>
    <w:qFormat/>
    <w:pPr>
      <w:keepNext w:val="true"/>
      <w:keepLines/>
      <w:spacing w:before="280" w:after="140"/>
      <w:outlineLvl w:val="0"/>
    </w:pPr>
    <w:rPr>
      <w:rFonts w:ascii="Calibri" w:hAnsi="Calibri" w:eastAsia="ＭＳ ゴシック" w:cs="" w:asciiTheme="majorHAnsi" w:cstheme="majorBidi" w:eastAsiaTheme="majorEastAsia" w:hAnsiTheme="majorHAnsi"/>
      <w:b/>
      <w:bCs/>
      <w:color w:val="132B3F"/>
      <w:sz w:val="34"/>
      <w:szCs w:val="28"/>
    </w:rPr>
  </w:style>
  <w:style w:type="paragraph" w:styleId="Heading2">
    <w:name w:val="heading 2"/>
    <w:basedOn w:val="Normal"/>
    <w:next w:val="Normal"/>
    <w:qFormat/>
    <w:pPr>
      <w:keepNext w:val="true"/>
      <w:keepLines/>
      <w:spacing w:before="180" w:after="80"/>
      <w:outlineLvl w:val="1"/>
    </w:pPr>
    <w:rPr>
      <w:rFonts w:ascii="Calibri" w:hAnsi="Calibri" w:eastAsia="ＭＳ ゴシック" w:cs="" w:asciiTheme="majorHAnsi" w:cstheme="majorBidi" w:eastAsiaTheme="majorEastAsia" w:hAnsiTheme="majorHAnsi"/>
      <w:b/>
      <w:bCs/>
      <w:color w:val="132B3F"/>
      <w:sz w:val="25"/>
      <w:szCs w:val="2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Bullet">
    <w:name w:val="List Bullet"/>
    <w:basedOn w:val="Normal"/>
    <w:pPr>
      <w:numPr>
        <w:ilvl w:val="0"/>
        <w:numId w:val="1"/>
      </w:numPr>
      <w:spacing w:before="0" w:after="100"/>
      <w:contextualSpacing/>
    </w:pPr>
    <w:rPr>
      <w:rFonts w:ascii="Aptos" w:hAnsi="Aptos"/>
      <w:sz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3</Pages>
  <Words>1185</Words>
  <Characters>7021</Characters>
  <CharactersWithSpaces>8165</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2026-09-01T13:37:46Z</dcterms:created>
  <dc:creator/>
  <dc:description/>
  <dc:language>en-US</dc:language>
  <cp:lastModifiedBy/>
  <dcterms:modified xsi:type="dcterms:W3CDTF">2026-09-01T13:38:43Z</dcterms:modified>
  <cp:revision>1</cp:revision>
  <dc:subject/>
  <dc:title/>
</cp:coreProperties>
</file>