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0" w:after="100"/>
        <w:jc w:val="start"/>
        <w:rPr/>
      </w:pPr>
      <w:r>
        <w:rPr/>
        <w:t>Returns and Refunds Policy</w:t>
      </w:r>
    </w:p>
    <w:p>
      <w:pPr>
        <w:pStyle w:val="Normal"/>
        <w:bidi w:val="0"/>
        <w:spacing w:before="0" w:after="280"/>
        <w:jc w:val="start"/>
        <w:rPr>
          <w:rFonts w:ascii="Aptos" w:hAnsi="Aptos"/>
          <w:b w:val="false"/>
          <w:i w:val="false"/>
          <w:color w:val="586069"/>
          <w:sz w:val="18"/>
        </w:rPr>
      </w:pPr>
      <w:r>
        <w:rPr/>
      </w:r>
    </w:p>
    <w:tbl>
      <w:tblPr>
        <w:tblW w:w="9360" w:type="dxa"/>
        <w:jc w:val="center"/>
        <w:tblInd w:w="0" w:type="dxa"/>
        <w:tblLayout w:type="fixed"/>
        <w:tblCellMar>
          <w:top w:w="100" w:type="dxa"/>
          <w:start w:w="120" w:type="dxa"/>
          <w:bottom w:w="100" w:type="dxa"/>
          <w:end w:w="120" w:type="dxa"/>
        </w:tblCellMar>
        <w:tblLook w:val="04a0" w:firstRow="1" w:noVBand="1" w:lastRow="0" w:firstColumn="1" w:lastColumn="0" w:noHBand="0"/>
      </w:tblPr>
      <w:tblGrid>
        <w:gridCol w:w="9360"/>
      </w:tblGrid>
      <w:tr>
        <w:trPr/>
        <w:tc>
          <w:tcPr>
            <w:tcW w:w="9360" w:type="dxa"/>
            <w:tcBorders/>
            <w:shd w:fill="EEF2F5" w:val="clear"/>
          </w:tcPr>
          <w:p>
            <w:pPr>
              <w:pStyle w:val="Normal"/>
              <w:bidi w:val="0"/>
              <w:spacing w:before="0" w:after="60"/>
              <w:jc w:val="start"/>
              <w:rPr/>
            </w:pPr>
            <w:r>
              <w:rPr>
                <w:rFonts w:ascii="Aptos" w:hAnsi="Aptos"/>
                <w:b/>
                <w:i w:val="false"/>
                <w:color w:val="132B3F"/>
                <w:sz w:val="21"/>
              </w:rPr>
              <w:t xml:space="preserve">Plain-language summary:  </w:t>
            </w:r>
            <w:r>
              <w:rPr>
                <w:rFonts w:ascii="Aptos" w:hAnsi="Aptos"/>
                <w:b w:val="false"/>
                <w:i w:val="false"/>
                <w:color w:val="000000"/>
                <w:sz w:val="21"/>
              </w:rPr>
              <w:t>Request authorization within 10 calendar days after delivery. Restrictions, condition requirements, and possible restocking fees apply.</w:t>
            </w:r>
          </w:p>
        </w:tc>
      </w:tr>
    </w:tbl>
    <w:p>
      <w:pPr>
        <w:pStyle w:val="Normal"/>
        <w:bidi w:val="0"/>
        <w:spacing w:before="0" w:after="20"/>
        <w:jc w:val="start"/>
        <w:rPr/>
      </w:pPr>
      <w:r>
        <w:rPr/>
      </w:r>
    </w:p>
    <w:p>
      <w:pPr>
        <w:pStyle w:val="Heading2"/>
        <w:keepNext w:val="true"/>
        <w:bidi w:val="0"/>
        <w:jc w:val="start"/>
        <w:rPr/>
      </w:pPr>
      <w:r>
        <w:rPr/>
        <w:t>Return window</w:t>
      </w:r>
    </w:p>
    <w:p>
      <w:pPr>
        <w:pStyle w:val="BodyText"/>
        <w:keepLines/>
        <w:bidi w:val="0"/>
        <w:jc w:val="start"/>
        <w:rPr/>
      </w:pPr>
      <w:r>
        <w:rPr>
          <w:rFonts w:ascii="Aptos" w:hAnsi="Aptos"/>
          <w:b w:val="false"/>
          <w:i w:val="false"/>
          <w:color w:val="000000"/>
          <w:sz w:val="20"/>
        </w:rPr>
        <w:t>You must contact us within 10 calendar days after carrier-confirmed delivery to request a Return Merchandise Authorization ("RMA"). Sending an item without an RMA does not guarantee acceptance. After an RMA is issued, the return must be shipped within 7 calendar days using a trackable method unless we approve another deadline in writing.</w:t>
      </w:r>
    </w:p>
    <w:p>
      <w:pPr>
        <w:pStyle w:val="Heading2"/>
        <w:keepNext w:val="true"/>
        <w:bidi w:val="0"/>
        <w:jc w:val="start"/>
        <w:rPr/>
      </w:pPr>
      <w:r>
        <w:rPr/>
        <w:t>Return eligibility</w:t>
      </w:r>
    </w:p>
    <w:p>
      <w:pPr>
        <w:pStyle w:val="BodyText"/>
        <w:keepLines/>
        <w:bidi w:val="0"/>
        <w:jc w:val="start"/>
        <w:rPr/>
      </w:pPr>
      <w:r>
        <w:rPr>
          <w:rFonts w:ascii="Aptos" w:hAnsi="Aptos"/>
          <w:b w:val="false"/>
          <w:i w:val="false"/>
          <w:color w:val="000000"/>
          <w:sz w:val="20"/>
        </w:rPr>
        <w:t>To qualify, the item must be the same item shipped, with serial numbers, labels, security markings, seals, accessories, manuals, packaging, and condition intact. It must not have been installed, energized, programmed, opened where sold as sealed, altered, repaired, disassembled, exposed to contaminants, damaged by improper handling, or used beyond reasonable inspection. We may document serial numbers, security marks, photos, test results, weight, and packaging before shipment and after return.</w:t>
      </w:r>
    </w:p>
    <w:p>
      <w:pPr>
        <w:pStyle w:val="Heading2"/>
        <w:keepNext w:val="true"/>
        <w:bidi w:val="0"/>
        <w:jc w:val="start"/>
        <w:rPr/>
      </w:pPr>
      <w:r>
        <w:rPr/>
        <w:t>Restocking fee and return shipping</w:t>
      </w:r>
    </w:p>
    <w:p>
      <w:pPr>
        <w:pStyle w:val="BodyText"/>
        <w:keepLines/>
        <w:bidi w:val="0"/>
        <w:jc w:val="start"/>
        <w:rPr/>
      </w:pPr>
      <w:r>
        <w:rPr>
          <w:rFonts w:ascii="Aptos" w:hAnsi="Aptos"/>
          <w:b w:val="false"/>
          <w:i w:val="false"/>
          <w:color w:val="000000"/>
          <w:sz w:val="20"/>
        </w:rPr>
        <w:t>Approved non-defective returns resulting from buyer preference, duplicate purchase, ordering error, project cancellation, or incompatibility may be subject to a 20% restocking fee. The customer pays return shipping and bears responsibility for secure packaging and loss in transit. The fee and return shipping do not apply when we verify that we shipped the wrong item or that the item was materially misdescribed, damaged in transit, or defective on arrival. We may provide a prepaid label in those cases.</w:t>
      </w:r>
    </w:p>
    <w:p>
      <w:pPr>
        <w:pStyle w:val="Heading2"/>
        <w:keepNext w:val="true"/>
        <w:bidi w:val="0"/>
        <w:jc w:val="start"/>
        <w:rPr/>
      </w:pPr>
      <w:r>
        <w:rPr/>
        <w:t>Non-returnable items</w:t>
      </w:r>
    </w:p>
    <w:p>
      <w:pPr>
        <w:pStyle w:val="ListBullet"/>
        <w:keepLines/>
        <w:numPr>
          <w:ilvl w:val="0"/>
          <w:numId w:val="1"/>
        </w:numPr>
        <w:bidi w:val="0"/>
        <w:spacing w:lineRule="auto" w:line="250" w:before="0" w:after="60"/>
        <w:contextualSpacing/>
        <w:jc w:val="start"/>
        <w:rPr/>
      </w:pPr>
      <w:r>
        <w:rPr>
          <w:b w:val="false"/>
          <w:i w:val="false"/>
          <w:color w:val="000000"/>
          <w:sz w:val="20"/>
        </w:rPr>
        <w:t>Products marked Final Sale, As Is, No Returns, Parts Only, or Special Order before purchase.</w:t>
      </w:r>
    </w:p>
    <w:p>
      <w:pPr>
        <w:pStyle w:val="ListBullet"/>
        <w:keepLines/>
        <w:numPr>
          <w:ilvl w:val="0"/>
          <w:numId w:val="1"/>
        </w:numPr>
        <w:bidi w:val="0"/>
        <w:spacing w:lineRule="auto" w:line="250" w:before="0" w:after="60"/>
        <w:contextualSpacing/>
        <w:jc w:val="start"/>
        <w:rPr/>
      </w:pPr>
      <w:r>
        <w:rPr>
          <w:b w:val="false"/>
          <w:i w:val="false"/>
          <w:color w:val="000000"/>
          <w:sz w:val="20"/>
        </w:rPr>
        <w:t>Customized, programmed, configured, cut, assembled, or customer-specific products.</w:t>
      </w:r>
    </w:p>
    <w:p>
      <w:pPr>
        <w:pStyle w:val="ListBullet"/>
        <w:keepLines/>
        <w:numPr>
          <w:ilvl w:val="0"/>
          <w:numId w:val="1"/>
        </w:numPr>
        <w:bidi w:val="0"/>
        <w:spacing w:lineRule="auto" w:line="250" w:before="0" w:after="60"/>
        <w:contextualSpacing/>
        <w:jc w:val="start"/>
        <w:rPr/>
      </w:pPr>
      <w:r>
        <w:rPr>
          <w:b w:val="false"/>
          <w:i w:val="false"/>
          <w:color w:val="000000"/>
          <w:sz w:val="20"/>
        </w:rPr>
        <w:t>Sealed products after the seal or protective packaging has been opened, when the listing states that opening makes the item non-returnable.</w:t>
      </w:r>
    </w:p>
    <w:p>
      <w:pPr>
        <w:pStyle w:val="ListBullet"/>
        <w:keepLines/>
        <w:numPr>
          <w:ilvl w:val="0"/>
          <w:numId w:val="1"/>
        </w:numPr>
        <w:bidi w:val="0"/>
        <w:spacing w:lineRule="auto" w:line="250" w:before="0" w:after="60"/>
        <w:contextualSpacing/>
        <w:jc w:val="start"/>
        <w:rPr/>
      </w:pPr>
      <w:r>
        <w:rPr>
          <w:b w:val="false"/>
          <w:i w:val="false"/>
          <w:color w:val="000000"/>
          <w:sz w:val="20"/>
        </w:rPr>
        <w:t>Items that were installed, energized, altered, repaired, damaged, or returned with missing identifiers, accessories, or components.</w:t>
      </w:r>
    </w:p>
    <w:p>
      <w:pPr>
        <w:pStyle w:val="ListBullet"/>
        <w:keepLines/>
        <w:numPr>
          <w:ilvl w:val="0"/>
          <w:numId w:val="1"/>
        </w:numPr>
        <w:bidi w:val="0"/>
        <w:spacing w:lineRule="auto" w:line="250" w:before="0" w:after="60"/>
        <w:contextualSpacing/>
        <w:jc w:val="start"/>
        <w:rPr/>
      </w:pPr>
      <w:r>
        <w:rPr>
          <w:b w:val="false"/>
          <w:i w:val="false"/>
          <w:color w:val="000000"/>
          <w:sz w:val="20"/>
        </w:rPr>
        <w:t>Consumables, batteries, software, licenses, downloads, and hazardous or regulated items, unless defective rights apply by law.</w:t>
      </w:r>
    </w:p>
    <w:p>
      <w:pPr>
        <w:pStyle w:val="Heading2"/>
        <w:keepNext w:val="true"/>
        <w:bidi w:val="0"/>
        <w:jc w:val="start"/>
        <w:rPr/>
      </w:pPr>
      <w:r>
        <w:rPr/>
        <w:t>Defective, incorrect, or damaged-on-arrival claims</w:t>
      </w:r>
    </w:p>
    <w:p>
      <w:pPr>
        <w:pStyle w:val="BodyText"/>
        <w:keepLines/>
        <w:bidi w:val="0"/>
        <w:jc w:val="start"/>
        <w:rPr/>
      </w:pPr>
      <w:r>
        <w:rPr>
          <w:rFonts w:ascii="Aptos" w:hAnsi="Aptos"/>
          <w:b w:val="false"/>
          <w:i w:val="false"/>
          <w:color w:val="000000"/>
          <w:sz w:val="20"/>
        </w:rPr>
        <w:t>Contact us within the 10-day window and provide the order number, item and serial number, description of the issue, installation or test context, photographs of the item and packaging, and any reasonably requested diagnostic information. Do not continue installing, energizing, programming, or modifying an item after discovering a suspected issue. We may require return and inspection before providing a remedy.</w:t>
      </w:r>
    </w:p>
    <w:p>
      <w:pPr>
        <w:pStyle w:val="Heading2"/>
        <w:keepNext w:val="true"/>
        <w:bidi w:val="0"/>
        <w:jc w:val="start"/>
        <w:rPr/>
      </w:pPr>
      <w:r>
        <w:rPr/>
        <w:t>Inspection and refund method</w:t>
      </w:r>
    </w:p>
    <w:p>
      <w:pPr>
        <w:pStyle w:val="BodyText"/>
        <w:keepLines/>
        <w:bidi w:val="0"/>
        <w:jc w:val="start"/>
        <w:rPr/>
      </w:pPr>
      <w:r>
        <w:rPr>
          <w:rFonts w:ascii="Aptos" w:hAnsi="Aptos"/>
          <w:b w:val="false"/>
          <w:i w:val="false"/>
          <w:color w:val="000000"/>
          <w:sz w:val="20"/>
        </w:rPr>
        <w:t>We generally inspect returns within 5 business days after receipt. If approved, the available remedy may be replacement, repair, store credit, or refund, as permitted by the applicable warranty and law. Refunds are issued to the original payment method. Original expedited or special-handling charges are non-refundable unless the return results from our error. Banks and payment providers control posting time.</w:t>
      </w:r>
    </w:p>
    <w:p>
      <w:pPr>
        <w:pStyle w:val="Heading2"/>
        <w:keepNext w:val="true"/>
        <w:bidi w:val="0"/>
        <w:jc w:val="start"/>
        <w:rPr/>
      </w:pPr>
      <w:r>
        <w:rPr/>
        <w:t>Abuse and mismatched returns</w:t>
      </w:r>
    </w:p>
    <w:p>
      <w:pPr>
        <w:pStyle w:val="BodyText"/>
        <w:keepLines/>
        <w:bidi w:val="0"/>
        <w:jc w:val="start"/>
        <w:rPr/>
      </w:pPr>
      <w:r>
        <w:rPr>
          <w:rFonts w:ascii="Aptos" w:hAnsi="Aptos"/>
          <w:b w:val="false"/>
          <w:i w:val="false"/>
          <w:color w:val="000000"/>
          <w:sz w:val="20"/>
        </w:rPr>
        <w:t>Returns involving switched parts, altered serial numbers, missing components, counterfeit products, false defect claims, chargeback abuse, or a different condition than shipped may be rejected and documented. We may charge reasonable return-to-customer shipping or refer suspected fraud to the payment provider or appropriate authorities, subject to law.</w:t>
      </w:r>
    </w:p>
    <w:p>
      <w:pPr>
        <w:pStyle w:val="Heading2"/>
        <w:keepNext w:val="true"/>
        <w:bidi w:val="0"/>
        <w:jc w:val="start"/>
        <w:rPr/>
      </w:pPr>
      <w:r>
        <w:rPr/>
        <w:t>Start a return</w:t>
      </w:r>
    </w:p>
    <w:p>
      <w:pPr>
        <w:pStyle w:val="BodyText"/>
        <w:keepLines/>
        <w:bidi w:val="0"/>
        <w:spacing w:before="0" w:after="140"/>
        <w:jc w:val="start"/>
        <w:rPr/>
      </w:pPr>
      <w:r>
        <w:rPr>
          <w:rFonts w:ascii="Aptos" w:hAnsi="Aptos"/>
          <w:b w:val="false"/>
          <w:i w:val="false"/>
          <w:color w:val="000000"/>
          <w:sz w:val="20"/>
        </w:rPr>
        <w:t>Email info@firealarmpartsllc.com with the subject "Return Request - Order [number]" or call 661-473-9353. Do not ship to the public contact address until you receive RMA instructions.</w:t>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Liberation Sans">
    <w:altName w:val="Arial"/>
    <w:charset w:val="00" w:characterSet="windows-1252"/>
    <w:family w:val="swiss"/>
    <w:pitch w:val="variable"/>
  </w:font>
  <w:font w:name="Aptos">
    <w:charset w:val="00" w:characterSet="windows-1252"/>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360"/>
        </w:tabs>
        <w:ind w:start="36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en-US" w:eastAsia="zh-CN" w:bidi="hi-IN"/>
    </w:rPr>
  </w:style>
  <w:style w:type="paragraph" w:styleId="Heading1">
    <w:name w:val="heading 1"/>
    <w:basedOn w:val="Normal"/>
    <w:next w:val="Normal"/>
    <w:qFormat/>
    <w:pPr>
      <w:keepNext w:val="true"/>
      <w:keepLines/>
      <w:spacing w:before="280" w:after="140"/>
      <w:outlineLvl w:val="0"/>
    </w:pPr>
    <w:rPr>
      <w:rFonts w:ascii="Calibri" w:hAnsi="Calibri" w:eastAsia="ＭＳ ゴシック" w:cs="" w:asciiTheme="majorHAnsi" w:cstheme="majorBidi" w:eastAsiaTheme="majorEastAsia" w:hAnsiTheme="majorHAnsi"/>
      <w:b/>
      <w:bCs/>
      <w:color w:val="132B3F"/>
      <w:sz w:val="34"/>
      <w:szCs w:val="28"/>
    </w:rPr>
  </w:style>
  <w:style w:type="paragraph" w:styleId="Heading2">
    <w:name w:val="heading 2"/>
    <w:basedOn w:val="Normal"/>
    <w:next w:val="Normal"/>
    <w:qFormat/>
    <w:pPr>
      <w:keepNext w:val="true"/>
      <w:keepLines/>
      <w:spacing w:before="180" w:after="80"/>
      <w:outlineLvl w:val="1"/>
    </w:pPr>
    <w:rPr>
      <w:rFonts w:ascii="Calibri" w:hAnsi="Calibri" w:eastAsia="ＭＳ ゴシック" w:cs="" w:asciiTheme="majorHAnsi" w:cstheme="majorBidi" w:eastAsiaTheme="majorEastAsia" w:hAnsiTheme="majorHAnsi"/>
      <w:b/>
      <w:bCs/>
      <w:color w:val="132B3F"/>
      <w:sz w:val="25"/>
      <w:szCs w:val="26"/>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Bullet">
    <w:name w:val="List Bullet"/>
    <w:basedOn w:val="Normal"/>
    <w:pPr>
      <w:numPr>
        <w:ilvl w:val="0"/>
        <w:numId w:val="1"/>
      </w:numPr>
      <w:spacing w:before="0" w:after="100"/>
      <w:contextualSpacing/>
    </w:pPr>
    <w:rPr>
      <w:rFonts w:ascii="Aptos" w:hAnsi="Aptos"/>
      <w:sz w:val="2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LibreOffice/26.2.5.2$Windows_X86_64 LibreOffice_project/cd7284b4cbbfeb507e630c1aac019f4157393acb</Application>
  <AppVersion>15.0000</AppVersion>
  <Pages>2</Pages>
  <Words>523</Words>
  <Characters>3172</Characters>
  <CharactersWithSpaces>3669</CharactersWithSpaces>
  <Paragraphs>22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2026-09-01T13:39:47Z</dcterms:created>
  <dc:creator/>
  <dc:description/>
  <dc:language>en-US</dc:language>
  <cp:lastModifiedBy/>
  <dcterms:modified xsi:type="dcterms:W3CDTF">2026-09-01T13:39:59Z</dcterms:modified>
  <cp:revision>1</cp:revision>
  <dc:subject/>
  <dc:title/>
</cp:coreProperties>
</file>