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Product Condition Policy</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Each listing must state the actual condition. Cosmetic wear does not necessarily indicate functional failure, but no condition label replaces professional testing.</w:t>
            </w:r>
          </w:p>
        </w:tc>
      </w:tr>
    </w:tbl>
    <w:p>
      <w:pPr>
        <w:pStyle w:val="Normal"/>
        <w:bidi w:val="0"/>
        <w:spacing w:before="0" w:after="20"/>
        <w:jc w:val="start"/>
        <w:rPr/>
      </w:pPr>
      <w:r>
        <w:rPr/>
      </w:r>
    </w:p>
    <w:p>
      <w:pPr>
        <w:pStyle w:val="Heading2"/>
        <w:keepNext w:val="true"/>
        <w:bidi w:val="0"/>
        <w:jc w:val="start"/>
        <w:rPr/>
      </w:pPr>
      <w:r>
        <w:rPr/>
        <w:t>Condition categories</w:t>
      </w:r>
    </w:p>
    <w:tbl>
      <w:tblPr>
        <w:tblStyle w:val="TableGrid"/>
        <w:tblW w:w="9360" w:type="dxa"/>
        <w:jc w:val="start"/>
        <w:tblInd w:w="-5" w:type="dxa"/>
        <w:tblLayout w:type="fixed"/>
        <w:tblCellMar>
          <w:top w:w="100" w:type="dxa"/>
          <w:start w:w="120" w:type="dxa"/>
          <w:bottom w:w="100" w:type="dxa"/>
          <w:end w:w="120" w:type="dxa"/>
        </w:tblCellMar>
        <w:tblLook w:val="04a0" w:firstRow="1" w:noVBand="1" w:lastRow="0" w:firstColumn="1" w:lastColumn="0" w:noHBand="0"/>
      </w:tblPr>
      <w:tblGrid>
        <w:gridCol w:w="2600"/>
        <w:gridCol w:w="6760"/>
      </w:tblGrid>
      <w:tr>
        <w:trPr>
          <w:tblHeader w:val="true"/>
        </w:trPr>
        <w:tc>
          <w:tcPr>
            <w:tcW w:w="2600" w:type="dxa"/>
            <w:tcBorders/>
            <w:shd w:fill="132B3F" w:val="clear"/>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FFFFFF"/>
                <w:kern w:val="0"/>
                <w:sz w:val="18"/>
                <w:szCs w:val="22"/>
                <w:lang w:val="en-US" w:eastAsia="en-US" w:bidi="ar-SA"/>
              </w:rPr>
              <w:t>Condition</w:t>
            </w:r>
          </w:p>
        </w:tc>
        <w:tc>
          <w:tcPr>
            <w:tcW w:w="6760" w:type="dxa"/>
            <w:tcBorders/>
            <w:shd w:fill="132B3F" w:val="clear"/>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FFFFFF"/>
                <w:kern w:val="0"/>
                <w:sz w:val="18"/>
                <w:szCs w:val="22"/>
                <w:lang w:val="en-US" w:eastAsia="en-US" w:bidi="ar-SA"/>
              </w:rPr>
              <w:t>Meaning</w:t>
            </w:r>
          </w:p>
        </w:tc>
      </w:tr>
      <w:tr>
        <w:trPr/>
        <w:tc>
          <w:tcPr>
            <w:tcW w:w="26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8"/>
                <w:szCs w:val="22"/>
                <w:lang w:val="en-US" w:eastAsia="en-US" w:bidi="ar-SA"/>
              </w:rPr>
              <w:t>New</w:t>
            </w:r>
          </w:p>
        </w:tc>
        <w:tc>
          <w:tcPr>
            <w:tcW w:w="676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8"/>
                <w:szCs w:val="22"/>
                <w:lang w:val="en-US" w:eastAsia="en-US" w:bidi="ar-SA"/>
              </w:rPr>
              <w:t>Unused product in manufacturer or equivalent packaging. Packaging may show storage or shipping wear unless the listing states factory pristine.</w:t>
            </w:r>
          </w:p>
        </w:tc>
      </w:tr>
      <w:tr>
        <w:trPr/>
        <w:tc>
          <w:tcPr>
            <w:tcW w:w="26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8"/>
                <w:szCs w:val="22"/>
                <w:lang w:val="en-US" w:eastAsia="en-US" w:bidi="ar-SA"/>
              </w:rPr>
              <w:t>New Old Stock / Surplus</w:t>
            </w:r>
          </w:p>
        </w:tc>
        <w:tc>
          <w:tcPr>
            <w:tcW w:w="676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8"/>
                <w:szCs w:val="22"/>
                <w:lang w:val="en-US" w:eastAsia="en-US" w:bidi="ar-SA"/>
              </w:rPr>
              <w:t>Unused older inventory, discontinued stock, or surplus. Age, packaging, labels, and manufacturer warranty status may differ from current production.</w:t>
            </w:r>
          </w:p>
        </w:tc>
      </w:tr>
      <w:tr>
        <w:trPr/>
        <w:tc>
          <w:tcPr>
            <w:tcW w:w="26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8"/>
                <w:szCs w:val="22"/>
                <w:lang w:val="en-US" w:eastAsia="en-US" w:bidi="ar-SA"/>
              </w:rPr>
              <w:t>Open Box</w:t>
            </w:r>
          </w:p>
        </w:tc>
        <w:tc>
          <w:tcPr>
            <w:tcW w:w="676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8"/>
                <w:szCs w:val="22"/>
                <w:lang w:val="en-US" w:eastAsia="en-US" w:bidi="ar-SA"/>
              </w:rPr>
              <w:t>Packaging was opened or replaced; item is represented as unused unless the listing states otherwise. Accessories may vary as disclosed.</w:t>
            </w:r>
          </w:p>
        </w:tc>
      </w:tr>
      <w:tr>
        <w:trPr/>
        <w:tc>
          <w:tcPr>
            <w:tcW w:w="26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8"/>
                <w:szCs w:val="22"/>
                <w:lang w:val="en-US" w:eastAsia="en-US" w:bidi="ar-SA"/>
              </w:rPr>
              <w:t>Used - Tested</w:t>
            </w:r>
          </w:p>
        </w:tc>
        <w:tc>
          <w:tcPr>
            <w:tcW w:w="676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8"/>
                <w:szCs w:val="22"/>
                <w:lang w:val="en-US" w:eastAsia="en-US" w:bidi="ar-SA"/>
              </w:rPr>
              <w:t>Previously owned or installed and subjected to the testing specifically described in the listing. Testing is not a system certification.</w:t>
            </w:r>
          </w:p>
        </w:tc>
      </w:tr>
      <w:tr>
        <w:trPr/>
        <w:tc>
          <w:tcPr>
            <w:tcW w:w="26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8"/>
                <w:szCs w:val="22"/>
                <w:lang w:val="en-US" w:eastAsia="en-US" w:bidi="ar-SA"/>
              </w:rPr>
              <w:t>Refurbished / Repaired</w:t>
            </w:r>
          </w:p>
        </w:tc>
        <w:tc>
          <w:tcPr>
            <w:tcW w:w="676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8"/>
                <w:szCs w:val="22"/>
                <w:lang w:val="en-US" w:eastAsia="en-US" w:bidi="ar-SA"/>
              </w:rPr>
              <w:t>Previously used and serviced, repaired, cleaned, or tested by the identified party. Scope varies and will be described when known.</w:t>
            </w:r>
          </w:p>
        </w:tc>
      </w:tr>
      <w:tr>
        <w:trPr/>
        <w:tc>
          <w:tcPr>
            <w:tcW w:w="260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i w:val="false"/>
                <w:color w:val="132B3F"/>
                <w:kern w:val="0"/>
                <w:sz w:val="18"/>
                <w:szCs w:val="22"/>
                <w:lang w:val="en-US" w:eastAsia="en-US" w:bidi="ar-SA"/>
              </w:rPr>
              <w:t>As Is / Parts Only</w:t>
            </w:r>
          </w:p>
        </w:tc>
        <w:tc>
          <w:tcPr>
            <w:tcW w:w="6760" w:type="dxa"/>
            <w:tcBorders/>
          </w:tcPr>
          <w:p>
            <w:pPr>
              <w:pStyle w:val="Normal"/>
              <w:widowControl/>
              <w:bidi w:val="0"/>
              <w:spacing w:before="0" w:after="100"/>
              <w:jc w:val="start"/>
              <w:rPr>
                <w:rFonts w:eastAsia="ＭＳ 明朝" w:cs=""/>
                <w:kern w:val="0"/>
                <w:szCs w:val="22"/>
                <w:lang w:val="en-US" w:eastAsia="en-US" w:bidi="ar-SA"/>
              </w:rPr>
            </w:pPr>
            <w:r>
              <w:rPr>
                <w:rFonts w:eastAsia="ＭＳ 明朝" w:cs="" w:ascii="Aptos" w:hAnsi="Aptos"/>
                <w:b w:val="false"/>
                <w:i w:val="false"/>
                <w:color w:val="000000"/>
                <w:kern w:val="0"/>
                <w:sz w:val="18"/>
                <w:szCs w:val="22"/>
                <w:lang w:val="en-US" w:eastAsia="en-US" w:bidi="ar-SA"/>
              </w:rPr>
              <w:t>No functional representation except as expressly written. Intended for parts, repair, evaluation, or other informed use; final sale where disclosed.</w:t>
            </w:r>
          </w:p>
        </w:tc>
      </w:tr>
    </w:tbl>
    <w:p>
      <w:pPr>
        <w:pStyle w:val="Normal"/>
        <w:bidi w:val="0"/>
        <w:spacing w:before="0" w:after="40"/>
        <w:jc w:val="start"/>
        <w:rPr/>
      </w:pPr>
      <w:r>
        <w:rPr/>
      </w:r>
    </w:p>
    <w:p>
      <w:pPr>
        <w:pStyle w:val="Heading2"/>
        <w:keepNext w:val="true"/>
        <w:bidi w:val="0"/>
        <w:jc w:val="start"/>
        <w:rPr/>
      </w:pPr>
      <w:r>
        <w:rPr/>
        <w:t>Listing controls</w:t>
      </w:r>
    </w:p>
    <w:p>
      <w:pPr>
        <w:pStyle w:val="BodyText"/>
        <w:keepLines/>
        <w:bidi w:val="0"/>
        <w:jc w:val="start"/>
        <w:rPr/>
      </w:pPr>
      <w:r>
        <w:rPr>
          <w:rFonts w:ascii="Aptos" w:hAnsi="Aptos"/>
          <w:b w:val="false"/>
          <w:i w:val="false"/>
          <w:color w:val="000000"/>
          <w:sz w:val="20"/>
        </w:rPr>
        <w:t>The individual product listing controls over general category language. Buyers must review all photos, notes, revision data, included-items lists, exclusions, condition statements, and warranty terms. Unless stated, accessories, bases, keys, manuals, mounting hardware, batteries, licenses, programming, certificates, and original packaging are not included.</w:t>
      </w:r>
    </w:p>
    <w:p>
      <w:pPr>
        <w:pStyle w:val="Heading2"/>
        <w:keepNext w:val="true"/>
        <w:bidi w:val="0"/>
        <w:jc w:val="start"/>
        <w:rPr/>
      </w:pPr>
      <w:r>
        <w:rPr/>
        <w:t>Testing limitations</w:t>
      </w:r>
    </w:p>
    <w:p>
      <w:pPr>
        <w:pStyle w:val="BodyText"/>
        <w:keepLines/>
        <w:bidi w:val="0"/>
        <w:spacing w:before="0" w:after="140"/>
        <w:jc w:val="start"/>
        <w:rPr/>
      </w:pPr>
      <w:r>
        <w:rPr>
          <w:rFonts w:ascii="Aptos" w:hAnsi="Aptos"/>
          <w:b w:val="false"/>
          <w:i w:val="false"/>
          <w:color w:val="000000"/>
          <w:sz w:val="20"/>
        </w:rPr>
        <w:t>Statements such as "tested," "working," or "powers on" refer only to the test described or reasonably associated with the listing. Bench testing cannot reproduce every panel, network, field condition, environmental exposure, load, firmware interaction, or code requirement. Professional commissioning and acceptance testing remain required.</w:t>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260</Words>
  <Characters>1668</Characters>
  <CharactersWithSpaces>1908</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2026-09-01T13:40:42Z</dcterms:created>
  <dc:creator/>
  <dc:description/>
  <dc:language>en-US</dc:language>
  <cp:lastModifiedBy/>
  <dcterms:modified xsi:type="dcterms:W3CDTF">2026-09-01T13:40:52Z</dcterms:modified>
  <cp:revision>1</cp:revision>
  <dc:subject/>
  <dc:title/>
</cp:coreProperties>
</file>