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0" w:after="100"/>
        <w:jc w:val="start"/>
        <w:rPr/>
      </w:pPr>
      <w:r>
        <w:rPr/>
        <w:t>Privacy Policy</w:t>
      </w:r>
    </w:p>
    <w:p>
      <w:pPr>
        <w:pStyle w:val="Normal"/>
        <w:bidi w:val="0"/>
        <w:spacing w:before="0" w:after="280"/>
        <w:jc w:val="start"/>
        <w:rPr>
          <w:rFonts w:ascii="Aptos" w:hAnsi="Aptos"/>
          <w:b w:val="false"/>
          <w:i w:val="false"/>
          <w:color w:val="586069"/>
          <w:sz w:val="18"/>
        </w:rPr>
      </w:pPr>
      <w:r>
        <w:rPr/>
      </w:r>
    </w:p>
    <w:tbl>
      <w:tblPr>
        <w:tblW w:w="9360" w:type="dxa"/>
        <w:jc w:val="center"/>
        <w:tblInd w:w="0" w:type="dxa"/>
        <w:tblLayout w:type="fixed"/>
        <w:tblCellMar>
          <w:top w:w="100" w:type="dxa"/>
          <w:start w:w="120" w:type="dxa"/>
          <w:bottom w:w="100" w:type="dxa"/>
          <w:end w:w="120" w:type="dxa"/>
        </w:tblCellMar>
        <w:tblLook w:val="04a0" w:firstRow="1" w:noVBand="1" w:lastRow="0" w:firstColumn="1" w:lastColumn="0" w:noHBand="0"/>
      </w:tblPr>
      <w:tblGrid>
        <w:gridCol w:w="9360"/>
      </w:tblGrid>
      <w:tr>
        <w:trPr/>
        <w:tc>
          <w:tcPr>
            <w:tcW w:w="9360" w:type="dxa"/>
            <w:tcBorders/>
            <w:shd w:fill="EEF2F5" w:val="clear"/>
          </w:tcPr>
          <w:p>
            <w:pPr>
              <w:pStyle w:val="Normal"/>
              <w:bidi w:val="0"/>
              <w:spacing w:before="0" w:after="60"/>
              <w:jc w:val="start"/>
              <w:rPr/>
            </w:pPr>
            <w:r>
              <w:rPr>
                <w:rFonts w:ascii="Aptos" w:hAnsi="Aptos"/>
                <w:b/>
                <w:i w:val="false"/>
                <w:color w:val="132B3F"/>
                <w:sz w:val="21"/>
              </w:rPr>
              <w:t xml:space="preserve">Plain-language summary:  </w:t>
            </w:r>
            <w:r>
              <w:rPr>
                <w:rFonts w:ascii="Aptos" w:hAnsi="Aptos"/>
                <w:b w:val="false"/>
                <w:i w:val="false"/>
                <w:color w:val="000000"/>
                <w:sz w:val="21"/>
              </w:rPr>
              <w:t>This policy explains what information the store collects, why it is used, whom it may be disclosed to, and the choices available to customers and visitors.</w:t>
            </w:r>
          </w:p>
        </w:tc>
      </w:tr>
    </w:tbl>
    <w:p>
      <w:pPr>
        <w:pStyle w:val="Normal"/>
        <w:bidi w:val="0"/>
        <w:spacing w:before="0" w:after="20"/>
        <w:jc w:val="start"/>
        <w:rPr/>
      </w:pPr>
      <w:r>
        <w:rPr/>
      </w:r>
    </w:p>
    <w:p>
      <w:pPr>
        <w:pStyle w:val="BodyText"/>
        <w:keepLines/>
        <w:bidi w:val="0"/>
        <w:jc w:val="start"/>
        <w:rPr/>
      </w:pPr>
      <w:r>
        <w:rPr>
          <w:rFonts w:ascii="Aptos" w:hAnsi="Aptos"/>
          <w:b w:val="false"/>
          <w:i w:val="false"/>
          <w:color w:val="000000"/>
          <w:sz w:val="20"/>
        </w:rPr>
        <w:t>Fito Technology LLC, doing business as Fire Alarm Parts, LLC ("we," "us," or "our"), operates firealarmpartsllc.com. This Privacy Policy applies to information collected through the Site, checkout, accounts, contact forms, customer support, and related business interactions. It does not apply to third-party websites governed by their own policies.</w:t>
      </w:r>
    </w:p>
    <w:p>
      <w:pPr>
        <w:pStyle w:val="Heading2"/>
        <w:keepNext w:val="true"/>
        <w:bidi w:val="0"/>
        <w:jc w:val="start"/>
        <w:rPr/>
      </w:pPr>
      <w:r>
        <w:rPr/>
        <w:t>Information we collect</w:t>
      </w:r>
    </w:p>
    <w:p>
      <w:pPr>
        <w:pStyle w:val="ListBullet"/>
        <w:keepLines/>
        <w:numPr>
          <w:ilvl w:val="0"/>
          <w:numId w:val="1"/>
        </w:numPr>
        <w:bidi w:val="0"/>
        <w:spacing w:lineRule="auto" w:line="250" w:before="0" w:after="60"/>
        <w:contextualSpacing/>
        <w:jc w:val="start"/>
        <w:rPr/>
      </w:pPr>
      <w:r>
        <w:rPr>
          <w:b w:val="false"/>
          <w:i w:val="false"/>
          <w:color w:val="000000"/>
          <w:sz w:val="20"/>
        </w:rPr>
        <w:t>Identifiers and contact information, such as name, company, billing and shipping addresses, email, telephone number, account name, and IP address.</w:t>
      </w:r>
    </w:p>
    <w:p>
      <w:pPr>
        <w:pStyle w:val="ListBullet"/>
        <w:keepLines/>
        <w:numPr>
          <w:ilvl w:val="0"/>
          <w:numId w:val="1"/>
        </w:numPr>
        <w:bidi w:val="0"/>
        <w:spacing w:lineRule="auto" w:line="250" w:before="0" w:after="60"/>
        <w:contextualSpacing/>
        <w:jc w:val="start"/>
        <w:rPr/>
      </w:pPr>
      <w:r>
        <w:rPr>
          <w:b w:val="false"/>
          <w:i w:val="false"/>
          <w:color w:val="000000"/>
          <w:sz w:val="20"/>
        </w:rPr>
        <w:t>Order and commercial information, such as products viewed or purchased, order history, returns, support requests, resale or tax documents, and transaction records.</w:t>
      </w:r>
    </w:p>
    <w:p>
      <w:pPr>
        <w:pStyle w:val="ListBullet"/>
        <w:keepLines/>
        <w:numPr>
          <w:ilvl w:val="0"/>
          <w:numId w:val="1"/>
        </w:numPr>
        <w:bidi w:val="0"/>
        <w:spacing w:lineRule="auto" w:line="250" w:before="0" w:after="60"/>
        <w:contextualSpacing/>
        <w:jc w:val="start"/>
        <w:rPr/>
      </w:pPr>
      <w:r>
        <w:rPr>
          <w:b w:val="false"/>
          <w:i w:val="false"/>
          <w:color w:val="000000"/>
          <w:sz w:val="20"/>
        </w:rPr>
        <w:t>Payment information processed by payment providers. We may receive transaction status, billing details, fraud signals, payment type, and limited card information, but we generally do not store complete payment-card numbers.</w:t>
      </w:r>
    </w:p>
    <w:p>
      <w:pPr>
        <w:pStyle w:val="ListBullet"/>
        <w:keepLines/>
        <w:numPr>
          <w:ilvl w:val="0"/>
          <w:numId w:val="1"/>
        </w:numPr>
        <w:bidi w:val="0"/>
        <w:spacing w:lineRule="auto" w:line="250" w:before="0" w:after="60"/>
        <w:contextualSpacing/>
        <w:jc w:val="start"/>
        <w:rPr/>
      </w:pPr>
      <w:r>
        <w:rPr>
          <w:b w:val="false"/>
          <w:i w:val="false"/>
          <w:color w:val="000000"/>
          <w:sz w:val="20"/>
        </w:rPr>
        <w:t>Device and internet activity, such as browser, device, operating system, referring pages, pages viewed, timestamps, approximate location derived from IP, cookies, logs, and interactions with the Site.</w:t>
      </w:r>
    </w:p>
    <w:p>
      <w:pPr>
        <w:pStyle w:val="ListBullet"/>
        <w:keepLines/>
        <w:numPr>
          <w:ilvl w:val="0"/>
          <w:numId w:val="1"/>
        </w:numPr>
        <w:bidi w:val="0"/>
        <w:spacing w:lineRule="auto" w:line="250" w:before="0" w:after="60"/>
        <w:contextualSpacing/>
        <w:jc w:val="start"/>
        <w:rPr/>
      </w:pPr>
      <w:r>
        <w:rPr>
          <w:b w:val="false"/>
          <w:i w:val="false"/>
          <w:color w:val="000000"/>
          <w:sz w:val="20"/>
        </w:rPr>
        <w:t>Communications and submitted content, including emails, form submissions, reviews, photographs, diagnostic information, and records of customer-service interactions.</w:t>
      </w:r>
    </w:p>
    <w:p>
      <w:pPr>
        <w:pStyle w:val="ListBullet"/>
        <w:keepLines/>
        <w:numPr>
          <w:ilvl w:val="0"/>
          <w:numId w:val="1"/>
        </w:numPr>
        <w:bidi w:val="0"/>
        <w:spacing w:lineRule="auto" w:line="250" w:before="0" w:after="60"/>
        <w:contextualSpacing/>
        <w:jc w:val="start"/>
        <w:rPr/>
      </w:pPr>
      <w:r>
        <w:rPr>
          <w:b w:val="false"/>
          <w:i w:val="false"/>
          <w:color w:val="000000"/>
          <w:sz w:val="20"/>
        </w:rPr>
        <w:t>Fraud, security, and compliance information, such as identity-verification results, shipping risk, chargeback data, sanctions screening, and records needed to protect accounts and transactions.</w:t>
      </w:r>
    </w:p>
    <w:p>
      <w:pPr>
        <w:pStyle w:val="Heading2"/>
        <w:keepNext w:val="true"/>
        <w:bidi w:val="0"/>
        <w:jc w:val="start"/>
        <w:rPr/>
      </w:pPr>
      <w:r>
        <w:rPr/>
        <w:t>Sources</w:t>
      </w:r>
    </w:p>
    <w:p>
      <w:pPr>
        <w:pStyle w:val="BodyText"/>
        <w:keepLines/>
        <w:bidi w:val="0"/>
        <w:jc w:val="start"/>
        <w:rPr/>
      </w:pPr>
      <w:r>
        <w:rPr>
          <w:rFonts w:ascii="Aptos" w:hAnsi="Aptos"/>
          <w:b w:val="false"/>
          <w:i w:val="false"/>
          <w:color w:val="000000"/>
          <w:sz w:val="20"/>
        </w:rPr>
        <w:t>We collect information directly from you; automatically from browsers, devices, cookies, and Site technologies; and from service providers such as payment processors, carriers, fraud-prevention providers, analytics providers, hosting providers, and business partners.</w:t>
      </w:r>
    </w:p>
    <w:p>
      <w:pPr>
        <w:pStyle w:val="Heading2"/>
        <w:keepNext w:val="true"/>
        <w:bidi w:val="0"/>
        <w:jc w:val="start"/>
        <w:rPr/>
      </w:pPr>
      <w:r>
        <w:rPr/>
        <w:t>How we use information</w:t>
      </w:r>
    </w:p>
    <w:p>
      <w:pPr>
        <w:pStyle w:val="ListBullet"/>
        <w:keepLines/>
        <w:numPr>
          <w:ilvl w:val="0"/>
          <w:numId w:val="1"/>
        </w:numPr>
        <w:bidi w:val="0"/>
        <w:spacing w:lineRule="auto" w:line="250" w:before="0" w:after="60"/>
        <w:contextualSpacing/>
        <w:jc w:val="start"/>
        <w:rPr/>
      </w:pPr>
      <w:r>
        <w:rPr>
          <w:b w:val="false"/>
          <w:i w:val="false"/>
          <w:color w:val="000000"/>
          <w:sz w:val="20"/>
        </w:rPr>
        <w:t>Provide the Site, accounts, checkout, orders, shipping, returns, refunds, warranties, and customer support.</w:t>
      </w:r>
    </w:p>
    <w:p>
      <w:pPr>
        <w:pStyle w:val="ListBullet"/>
        <w:keepLines/>
        <w:numPr>
          <w:ilvl w:val="0"/>
          <w:numId w:val="1"/>
        </w:numPr>
        <w:bidi w:val="0"/>
        <w:spacing w:lineRule="auto" w:line="250" w:before="0" w:after="60"/>
        <w:contextualSpacing/>
        <w:jc w:val="start"/>
        <w:rPr/>
      </w:pPr>
      <w:r>
        <w:rPr>
          <w:b w:val="false"/>
          <w:i w:val="false"/>
          <w:color w:val="000000"/>
          <w:sz w:val="20"/>
        </w:rPr>
        <w:t>Verify payments, prevent fraud, secure accounts, enforce policies, investigate disputes, and comply with law.</w:t>
      </w:r>
    </w:p>
    <w:p>
      <w:pPr>
        <w:pStyle w:val="ListBullet"/>
        <w:keepLines/>
        <w:numPr>
          <w:ilvl w:val="0"/>
          <w:numId w:val="1"/>
        </w:numPr>
        <w:bidi w:val="0"/>
        <w:spacing w:lineRule="auto" w:line="250" w:before="0" w:after="60"/>
        <w:contextualSpacing/>
        <w:jc w:val="start"/>
        <w:rPr/>
      </w:pPr>
      <w:r>
        <w:rPr>
          <w:b w:val="false"/>
          <w:i w:val="false"/>
          <w:color w:val="000000"/>
          <w:sz w:val="20"/>
        </w:rPr>
        <w:t>Communicate about orders, requests, products, service messages, and marketing where permitted; honor opt-outs.</w:t>
      </w:r>
    </w:p>
    <w:p>
      <w:pPr>
        <w:pStyle w:val="ListBullet"/>
        <w:keepLines/>
        <w:numPr>
          <w:ilvl w:val="0"/>
          <w:numId w:val="1"/>
        </w:numPr>
        <w:bidi w:val="0"/>
        <w:spacing w:lineRule="auto" w:line="250" w:before="0" w:after="60"/>
        <w:contextualSpacing/>
        <w:jc w:val="start"/>
        <w:rPr/>
      </w:pPr>
      <w:r>
        <w:rPr>
          <w:b w:val="false"/>
          <w:i w:val="false"/>
          <w:color w:val="000000"/>
          <w:sz w:val="20"/>
        </w:rPr>
        <w:t>Operate, troubleshoot, analyze, personalize, and improve the Site, inventory, customer experience, and business operations.</w:t>
      </w:r>
    </w:p>
    <w:p>
      <w:pPr>
        <w:pStyle w:val="ListBullet"/>
        <w:keepLines/>
        <w:numPr>
          <w:ilvl w:val="0"/>
          <w:numId w:val="1"/>
        </w:numPr>
        <w:bidi w:val="0"/>
        <w:spacing w:lineRule="auto" w:line="250" w:before="0" w:after="60"/>
        <w:contextualSpacing/>
        <w:jc w:val="start"/>
        <w:rPr/>
      </w:pPr>
      <w:r>
        <w:rPr>
          <w:b w:val="false"/>
          <w:i w:val="false"/>
          <w:color w:val="000000"/>
          <w:sz w:val="20"/>
        </w:rPr>
        <w:t>Maintain records, exercise or defend legal claims, complete corporate transactions, and protect people, property, systems, and rights.</w:t>
      </w:r>
    </w:p>
    <w:p>
      <w:pPr>
        <w:pStyle w:val="Heading2"/>
        <w:keepNext w:val="true"/>
        <w:bidi w:val="0"/>
        <w:jc w:val="start"/>
        <w:rPr/>
      </w:pPr>
      <w:r>
        <w:rPr/>
        <w:t>Disclosures</w:t>
      </w:r>
    </w:p>
    <w:p>
      <w:pPr>
        <w:pStyle w:val="BodyText"/>
        <w:keepLines/>
        <w:bidi w:val="0"/>
        <w:jc w:val="start"/>
        <w:rPr/>
      </w:pPr>
      <w:r>
        <w:rPr>
          <w:rFonts w:ascii="Aptos" w:hAnsi="Aptos"/>
          <w:b w:val="false"/>
          <w:i w:val="false"/>
          <w:color w:val="000000"/>
          <w:sz w:val="20"/>
        </w:rPr>
        <w:t>We may disclose relevant information to payment processors; hosting, cloud, e-commerce, analytics, security, fraud, email, customer-support, and IT providers; carriers and fulfillment partners; professional advisers; regulators and law enforcement when legally required or reasonably necessary; transaction parties in a merger, financing, acquisition, sale, or restructuring; and other parties at your direction or with your consent. Service providers are authorized to use information for contracted purposes, subject to applicable agreements and law.</w:t>
      </w:r>
    </w:p>
    <w:p>
      <w:pPr>
        <w:pStyle w:val="Heading2"/>
        <w:keepNext w:val="true"/>
        <w:bidi w:val="0"/>
        <w:jc w:val="start"/>
        <w:rPr/>
      </w:pPr>
      <w:r>
        <w:rPr/>
        <w:t>Sale, sharing, and targeted advertising</w:t>
      </w:r>
    </w:p>
    <w:p>
      <w:pPr>
        <w:pStyle w:val="BodyText"/>
        <w:keepLines/>
        <w:bidi w:val="0"/>
        <w:jc w:val="start"/>
        <w:rPr/>
      </w:pPr>
      <w:r>
        <w:rPr>
          <w:rFonts w:ascii="Aptos" w:hAnsi="Aptos"/>
          <w:b w:val="false"/>
          <w:i w:val="false"/>
          <w:color w:val="000000"/>
          <w:sz w:val="20"/>
        </w:rPr>
        <w:t>We do not sell personal information for money. Some analytics or advertising technologies may be treated as a "sale," "sharing," or targeted advertising under certain state privacy laws even when no money is exchanged. Where required, we will provide a "Your Privacy Choices" mechanism and honor applicable opt-out preference signals, including Global Privacy Control. The actual statement and link must match the technologies enabled on the Site.</w:t>
      </w:r>
    </w:p>
    <w:p>
      <w:pPr>
        <w:pStyle w:val="Heading2"/>
        <w:keepNext w:val="true"/>
        <w:bidi w:val="0"/>
        <w:jc w:val="start"/>
        <w:rPr/>
      </w:pPr>
      <w:r>
        <w:rPr/>
        <w:t>Cookies and tracking</w:t>
      </w:r>
    </w:p>
    <w:p>
      <w:pPr>
        <w:pStyle w:val="BodyText"/>
        <w:keepLines/>
        <w:bidi w:val="0"/>
        <w:jc w:val="start"/>
        <w:rPr/>
      </w:pPr>
      <w:r>
        <w:rPr>
          <w:rFonts w:ascii="Aptos" w:hAnsi="Aptos"/>
          <w:b w:val="false"/>
          <w:i w:val="false"/>
          <w:color w:val="000000"/>
          <w:sz w:val="20"/>
        </w:rPr>
        <w:t>We and our providers may use cookies, pixels, local storage, tags, and similar technologies for essential operations, preferences, analytics, security, and advertising. See the Cookie Policy. Browser "Do Not Track" signals are not standardized; we respond to legally recognized opt-out preference signals where required.</w:t>
      </w:r>
    </w:p>
    <w:p>
      <w:pPr>
        <w:pStyle w:val="Heading2"/>
        <w:keepNext w:val="true"/>
        <w:bidi w:val="0"/>
        <w:jc w:val="start"/>
        <w:rPr/>
      </w:pPr>
      <w:r>
        <w:rPr/>
        <w:t>Data retention</w:t>
      </w:r>
    </w:p>
    <w:p>
      <w:pPr>
        <w:pStyle w:val="BodyText"/>
        <w:keepLines/>
        <w:bidi w:val="0"/>
        <w:jc w:val="start"/>
        <w:rPr/>
      </w:pPr>
      <w:r>
        <w:rPr>
          <w:rFonts w:ascii="Aptos" w:hAnsi="Aptos"/>
          <w:b w:val="false"/>
          <w:i w:val="false"/>
          <w:color w:val="000000"/>
          <w:sz w:val="20"/>
        </w:rPr>
        <w:t>We retain information only as reasonably necessary for the purposes described, including order fulfillment, warranties, tax and accounting records, fraud prevention, dispute resolution, legal compliance, and security. Retention varies by data type, transaction, legal requirement, and operational need. We delete or deidentify information when reasonably appropriate, subject to backups and legal obligations.</w:t>
      </w:r>
    </w:p>
    <w:p>
      <w:pPr>
        <w:pStyle w:val="Heading2"/>
        <w:keepNext w:val="true"/>
        <w:bidi w:val="0"/>
        <w:jc w:val="start"/>
        <w:rPr/>
      </w:pPr>
      <w:r>
        <w:rPr/>
        <w:t>Security</w:t>
      </w:r>
    </w:p>
    <w:p>
      <w:pPr>
        <w:pStyle w:val="BodyText"/>
        <w:keepLines/>
        <w:bidi w:val="0"/>
        <w:jc w:val="start"/>
        <w:rPr/>
      </w:pPr>
      <w:r>
        <w:rPr>
          <w:rFonts w:ascii="Aptos" w:hAnsi="Aptos"/>
          <w:b w:val="false"/>
          <w:i w:val="false"/>
          <w:color w:val="000000"/>
          <w:sz w:val="20"/>
        </w:rPr>
        <w:t>We use reasonable administrative, technical, and physical safeguards appropriate to the nature of the information. No online system, transmission, or storage method is completely secure, and we cannot guarantee absolute security. Do not send complete payment-card numbers, passwords, or other highly sensitive information by ordinary email or contact form.</w:t>
      </w:r>
    </w:p>
    <w:p>
      <w:pPr>
        <w:pStyle w:val="Heading2"/>
        <w:keepNext w:val="true"/>
        <w:bidi w:val="0"/>
        <w:jc w:val="start"/>
        <w:rPr/>
      </w:pPr>
      <w:r>
        <w:rPr/>
        <w:t>Your choices and privacy requests</w:t>
      </w:r>
    </w:p>
    <w:p>
      <w:pPr>
        <w:pStyle w:val="BodyText"/>
        <w:keepLines/>
        <w:bidi w:val="0"/>
        <w:jc w:val="start"/>
        <w:rPr/>
      </w:pPr>
      <w:r>
        <w:rPr>
          <w:rFonts w:ascii="Aptos" w:hAnsi="Aptos"/>
          <w:b w:val="false"/>
          <w:i w:val="false"/>
          <w:color w:val="000000"/>
          <w:sz w:val="20"/>
        </w:rPr>
        <w:t>You may update account information, unsubscribe from marketing using the message link, adjust browser or cookie settings, or contact us about access, correction, deletion, portability, or opt-out rights that may apply in your state. We may verify identity and may deny or limit a request where permitted by law. Authorized agents must provide proof of authority. We will not unlawfully discriminate for exercising applicable privacy rights.</w:t>
      </w:r>
    </w:p>
    <w:p>
      <w:pPr>
        <w:pStyle w:val="Heading2"/>
        <w:keepNext w:val="true"/>
        <w:bidi w:val="0"/>
        <w:jc w:val="start"/>
        <w:rPr/>
      </w:pPr>
      <w:r>
        <w:rPr/>
        <w:t>California notice</w:t>
      </w:r>
    </w:p>
    <w:p>
      <w:pPr>
        <w:pStyle w:val="BodyText"/>
        <w:keepLines/>
        <w:bidi w:val="0"/>
        <w:jc w:val="start"/>
        <w:rPr/>
      </w:pPr>
      <w:r>
        <w:rPr>
          <w:rFonts w:ascii="Aptos" w:hAnsi="Aptos"/>
          <w:b w:val="false"/>
          <w:i w:val="false"/>
          <w:color w:val="000000"/>
          <w:sz w:val="20"/>
        </w:rPr>
        <w:t>California residents may have rights under the California Consumer Privacy Act only if that law applies to our business and the particular information. Regardless of threshold applicability, this policy is intended to support the disclosures required by the California Online Privacy Protection Act. If we become subject to additional California notice or request requirements, we will update this policy and the Site's request methods.</w:t>
      </w:r>
    </w:p>
    <w:p>
      <w:pPr>
        <w:pStyle w:val="Heading2"/>
        <w:keepNext w:val="true"/>
        <w:bidi w:val="0"/>
        <w:jc w:val="start"/>
        <w:rPr/>
      </w:pPr>
      <w:r>
        <w:rPr/>
        <w:t>Children</w:t>
      </w:r>
    </w:p>
    <w:p>
      <w:pPr>
        <w:pStyle w:val="BodyText"/>
        <w:keepLines/>
        <w:bidi w:val="0"/>
        <w:jc w:val="start"/>
        <w:rPr/>
      </w:pPr>
      <w:r>
        <w:rPr>
          <w:rFonts w:ascii="Aptos" w:hAnsi="Aptos"/>
          <w:b w:val="false"/>
          <w:i w:val="false"/>
          <w:color w:val="000000"/>
          <w:sz w:val="20"/>
        </w:rPr>
        <w:t>The Site is not directed to children under 13, and we do not knowingly collect their personal information. If you believe a child provided information, contact us so we can evaluate and delete it as appropriate.</w:t>
      </w:r>
    </w:p>
    <w:p>
      <w:pPr>
        <w:pStyle w:val="Heading2"/>
        <w:keepNext w:val="true"/>
        <w:bidi w:val="0"/>
        <w:jc w:val="start"/>
        <w:rPr/>
      </w:pPr>
      <w:r>
        <w:rPr/>
        <w:t>Changes and contact</w:t>
      </w:r>
    </w:p>
    <w:p>
      <w:pPr>
        <w:pStyle w:val="BodyText"/>
        <w:keepLines/>
        <w:bidi w:val="0"/>
        <w:jc w:val="start"/>
        <w:rPr/>
      </w:pPr>
      <w:r>
        <w:rPr>
          <w:rFonts w:ascii="Aptos" w:hAnsi="Aptos"/>
          <w:b w:val="false"/>
          <w:i w:val="false"/>
          <w:color w:val="000000"/>
          <w:sz w:val="20"/>
        </w:rPr>
        <w:t>We may update this policy prospectively and will post the new effective date. Questions or requests: Privacy Contact, Fito Technology LLC d/b/a Fire Alarm Parts, LLC, 6336 Wofford Blvd, Suite 512, Wofford Heights, CA 93285; info@firealarmpartsllc.com; 661-473-9353.</w:t>
      </w:r>
    </w:p>
    <w:p>
      <w:pPr>
        <w:pStyle w:val="Normal"/>
        <w:bidi w:val="0"/>
        <w:jc w:val="start"/>
        <w:rPr/>
      </w:pPr>
      <w:r>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Sans">
    <w:altName w:val="Arial"/>
    <w:charset w:val="00" w:characterSet="windows-1252"/>
    <w:family w:val="swiss"/>
    <w:pitch w:val="variable"/>
  </w:font>
  <w:font w:name="Aptos">
    <w:charset w:val="00" w:characterSet="windows-1252"/>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Normal"/>
    <w:next w:val="Normal"/>
    <w:qFormat/>
    <w:pPr>
      <w:keepNext w:val="true"/>
      <w:keepLines/>
      <w:spacing w:before="280" w:after="140"/>
      <w:outlineLvl w:val="0"/>
    </w:pPr>
    <w:rPr>
      <w:rFonts w:ascii="Calibri" w:hAnsi="Calibri" w:eastAsia="ＭＳ ゴシック" w:cs="" w:asciiTheme="majorHAnsi" w:cstheme="majorBidi" w:eastAsiaTheme="majorEastAsia" w:hAnsiTheme="majorHAnsi"/>
      <w:b/>
      <w:bCs/>
      <w:color w:val="132B3F"/>
      <w:sz w:val="34"/>
      <w:szCs w:val="28"/>
    </w:rPr>
  </w:style>
  <w:style w:type="paragraph" w:styleId="Heading2">
    <w:name w:val="heading 2"/>
    <w:basedOn w:val="Normal"/>
    <w:next w:val="Normal"/>
    <w:qFormat/>
    <w:pPr>
      <w:keepNext w:val="true"/>
      <w:keepLines/>
      <w:spacing w:before="180" w:after="80"/>
      <w:outlineLvl w:val="1"/>
    </w:pPr>
    <w:rPr>
      <w:rFonts w:ascii="Calibri" w:hAnsi="Calibri" w:eastAsia="ＭＳ ゴシック" w:cs="" w:asciiTheme="majorHAnsi" w:cstheme="majorBidi" w:eastAsiaTheme="majorEastAsia" w:hAnsiTheme="majorHAnsi"/>
      <w:b/>
      <w:bCs/>
      <w:color w:val="132B3F"/>
      <w:sz w:val="25"/>
      <w:szCs w:val="26"/>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Bullet">
    <w:name w:val="List Bullet"/>
    <w:basedOn w:val="Normal"/>
    <w:pPr>
      <w:numPr>
        <w:ilvl w:val="0"/>
        <w:numId w:val="1"/>
      </w:numPr>
      <w:spacing w:before="0" w:after="100"/>
      <w:contextualSpacing/>
    </w:pPr>
    <w:rPr>
      <w:rFonts w:ascii="Aptos" w:hAnsi="Aptos"/>
      <w:sz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2</Pages>
  <Words>848</Words>
  <Characters>5348</Characters>
  <CharactersWithSpaces>6150</CharactersWithSpaces>
  <Paragraphs>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2026-09-01T13:42:35Z</dcterms:created>
  <dc:creator/>
  <dc:description/>
  <dc:language>en-US</dc:language>
  <cp:lastModifiedBy/>
  <dcterms:modified xsi:type="dcterms:W3CDTF">2026-09-01T13:42:48Z</dcterms:modified>
  <cp:revision>1</cp:revision>
  <dc:subject/>
  <dc:title/>
</cp:coreProperties>
</file>