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0" w:after="100"/>
        <w:jc w:val="start"/>
        <w:rPr/>
      </w:pPr>
      <w:r>
        <w:rPr/>
        <w:t>Cookie Policy</w:t>
      </w:r>
    </w:p>
    <w:p>
      <w:pPr>
        <w:pStyle w:val="Normal"/>
        <w:bidi w:val="0"/>
        <w:spacing w:before="0" w:after="280"/>
        <w:jc w:val="start"/>
        <w:rPr>
          <w:rFonts w:ascii="Aptos" w:hAnsi="Aptos"/>
          <w:b w:val="false"/>
          <w:i w:val="false"/>
          <w:color w:val="586069"/>
          <w:sz w:val="18"/>
        </w:rPr>
      </w:pPr>
      <w:r>
        <w:rPr/>
      </w:r>
    </w:p>
    <w:tbl>
      <w:tblPr>
        <w:tblW w:w="9360" w:type="dxa"/>
        <w:jc w:val="center"/>
        <w:tblInd w:w="0" w:type="dxa"/>
        <w:tblLayout w:type="fixed"/>
        <w:tblCellMar>
          <w:top w:w="100" w:type="dxa"/>
          <w:start w:w="120" w:type="dxa"/>
          <w:bottom w:w="100" w:type="dxa"/>
          <w:end w:w="120" w:type="dxa"/>
        </w:tblCellMar>
        <w:tblLook w:val="04a0" w:firstRow="1" w:noVBand="1" w:lastRow="0" w:firstColumn="1" w:lastColumn="0" w:noHBand="0"/>
      </w:tblPr>
      <w:tblGrid>
        <w:gridCol w:w="9360"/>
      </w:tblGrid>
      <w:tr>
        <w:trPr/>
        <w:tc>
          <w:tcPr>
            <w:tcW w:w="9360" w:type="dxa"/>
            <w:tcBorders/>
            <w:shd w:fill="EEF2F5" w:val="clear"/>
          </w:tcPr>
          <w:p>
            <w:pPr>
              <w:pStyle w:val="Normal"/>
              <w:bidi w:val="0"/>
              <w:spacing w:before="0" w:after="60"/>
              <w:jc w:val="start"/>
              <w:rPr/>
            </w:pPr>
            <w:r>
              <w:rPr>
                <w:rFonts w:ascii="Aptos" w:hAnsi="Aptos"/>
                <w:b/>
                <w:i w:val="false"/>
                <w:color w:val="132B3F"/>
                <w:sz w:val="21"/>
              </w:rPr>
              <w:t xml:space="preserve">Plain-language summary:  </w:t>
            </w:r>
            <w:r>
              <w:rPr>
                <w:rFonts w:ascii="Aptos" w:hAnsi="Aptos"/>
                <w:b w:val="false"/>
                <w:i w:val="false"/>
                <w:color w:val="000000"/>
                <w:sz w:val="21"/>
              </w:rPr>
              <w:t>Cookies support checkout, security, preferences, analytics, and possibly advertising. The live banner and policy must reflect the plug-ins actually enabled.</w:t>
            </w:r>
          </w:p>
        </w:tc>
      </w:tr>
    </w:tbl>
    <w:p>
      <w:pPr>
        <w:pStyle w:val="Normal"/>
        <w:bidi w:val="0"/>
        <w:spacing w:before="0" w:after="20"/>
        <w:jc w:val="start"/>
        <w:rPr/>
      </w:pPr>
      <w:r>
        <w:rPr/>
      </w:r>
    </w:p>
    <w:p>
      <w:pPr>
        <w:pStyle w:val="Heading2"/>
        <w:keepNext w:val="true"/>
        <w:bidi w:val="0"/>
        <w:jc w:val="start"/>
        <w:rPr/>
      </w:pPr>
      <w:r>
        <w:rPr/>
        <w:t>What cookies are</w:t>
      </w:r>
    </w:p>
    <w:p>
      <w:pPr>
        <w:pStyle w:val="BodyText"/>
        <w:keepLines/>
        <w:bidi w:val="0"/>
        <w:jc w:val="start"/>
        <w:rPr/>
      </w:pPr>
      <w:r>
        <w:rPr>
          <w:rFonts w:ascii="Aptos" w:hAnsi="Aptos"/>
          <w:b w:val="false"/>
          <w:i w:val="false"/>
          <w:color w:val="000000"/>
          <w:sz w:val="20"/>
        </w:rPr>
        <w:t>Cookies are small files stored by a browser. Similar technologies include pixels, tags, SDKs, local storage, and server logs. They can recognize a device, maintain a session, remember choices, measure performance, and support security or advertising.</w:t>
      </w:r>
    </w:p>
    <w:p>
      <w:pPr>
        <w:pStyle w:val="Heading2"/>
        <w:keepNext w:val="true"/>
        <w:bidi w:val="0"/>
        <w:jc w:val="start"/>
        <w:rPr/>
      </w:pPr>
      <w:r>
        <w:rPr/>
        <w:t>Categories we may use</w:t>
      </w:r>
    </w:p>
    <w:tbl>
      <w:tblPr>
        <w:tblStyle w:val="TableGrid"/>
        <w:tblW w:w="9360" w:type="dxa"/>
        <w:jc w:val="start"/>
        <w:tblInd w:w="-5" w:type="dxa"/>
        <w:tblLayout w:type="fixed"/>
        <w:tblCellMar>
          <w:top w:w="100" w:type="dxa"/>
          <w:start w:w="120" w:type="dxa"/>
          <w:bottom w:w="100" w:type="dxa"/>
          <w:end w:w="120" w:type="dxa"/>
        </w:tblCellMar>
        <w:tblLook w:val="04a0" w:firstRow="1" w:noVBand="1" w:lastRow="0" w:firstColumn="1" w:lastColumn="0" w:noHBand="0"/>
      </w:tblPr>
      <w:tblGrid>
        <w:gridCol w:w="1900"/>
        <w:gridCol w:w="4799"/>
        <w:gridCol w:w="2661"/>
      </w:tblGrid>
      <w:tr>
        <w:trPr>
          <w:tblHeader w:val="true"/>
        </w:trPr>
        <w:tc>
          <w:tcPr>
            <w:tcW w:w="1900" w:type="dxa"/>
            <w:tcBorders/>
            <w:shd w:fill="132B3F" w:val="clear"/>
          </w:tcPr>
          <w:p>
            <w:pPr>
              <w:pStyle w:val="Normal"/>
              <w:widowControl/>
              <w:bidi w:val="0"/>
              <w:spacing w:before="0" w:after="100"/>
              <w:jc w:val="start"/>
              <w:rPr>
                <w:rFonts w:eastAsia="ＭＳ 明朝" w:cs=""/>
                <w:kern w:val="0"/>
                <w:szCs w:val="22"/>
                <w:lang w:val="en-US" w:eastAsia="en-US" w:bidi="ar-SA"/>
              </w:rPr>
            </w:pPr>
            <w:r>
              <w:rPr>
                <w:rFonts w:eastAsia="ＭＳ 明朝" w:cs="" w:ascii="Aptos" w:hAnsi="Aptos"/>
                <w:b/>
                <w:i w:val="false"/>
                <w:color w:val="FFFFFF"/>
                <w:kern w:val="0"/>
                <w:sz w:val="18"/>
                <w:szCs w:val="22"/>
                <w:lang w:val="en-US" w:eastAsia="en-US" w:bidi="ar-SA"/>
              </w:rPr>
              <w:t>Category</w:t>
            </w:r>
          </w:p>
        </w:tc>
        <w:tc>
          <w:tcPr>
            <w:tcW w:w="4799" w:type="dxa"/>
            <w:tcBorders/>
            <w:shd w:fill="132B3F" w:val="clear"/>
          </w:tcPr>
          <w:p>
            <w:pPr>
              <w:pStyle w:val="Normal"/>
              <w:widowControl/>
              <w:bidi w:val="0"/>
              <w:spacing w:before="0" w:after="100"/>
              <w:jc w:val="start"/>
              <w:rPr>
                <w:rFonts w:eastAsia="ＭＳ 明朝" w:cs=""/>
                <w:kern w:val="0"/>
                <w:szCs w:val="22"/>
                <w:lang w:val="en-US" w:eastAsia="en-US" w:bidi="ar-SA"/>
              </w:rPr>
            </w:pPr>
            <w:r>
              <w:rPr>
                <w:rFonts w:eastAsia="ＭＳ 明朝" w:cs="" w:ascii="Aptos" w:hAnsi="Aptos"/>
                <w:b/>
                <w:i w:val="false"/>
                <w:color w:val="FFFFFF"/>
                <w:kern w:val="0"/>
                <w:sz w:val="18"/>
                <w:szCs w:val="22"/>
                <w:lang w:val="en-US" w:eastAsia="en-US" w:bidi="ar-SA"/>
              </w:rPr>
              <w:t>Purpose</w:t>
            </w:r>
          </w:p>
        </w:tc>
        <w:tc>
          <w:tcPr>
            <w:tcW w:w="2661" w:type="dxa"/>
            <w:tcBorders/>
            <w:shd w:fill="132B3F" w:val="clear"/>
          </w:tcPr>
          <w:p>
            <w:pPr>
              <w:pStyle w:val="Normal"/>
              <w:widowControl/>
              <w:bidi w:val="0"/>
              <w:spacing w:before="0" w:after="100"/>
              <w:jc w:val="start"/>
              <w:rPr>
                <w:rFonts w:eastAsia="ＭＳ 明朝" w:cs=""/>
                <w:kern w:val="0"/>
                <w:szCs w:val="22"/>
                <w:lang w:val="en-US" w:eastAsia="en-US" w:bidi="ar-SA"/>
              </w:rPr>
            </w:pPr>
            <w:r>
              <w:rPr>
                <w:rFonts w:eastAsia="ＭＳ 明朝" w:cs="" w:ascii="Aptos" w:hAnsi="Aptos"/>
                <w:b/>
                <w:i w:val="false"/>
                <w:color w:val="FFFFFF"/>
                <w:kern w:val="0"/>
                <w:sz w:val="18"/>
                <w:szCs w:val="22"/>
                <w:lang w:val="en-US" w:eastAsia="en-US" w:bidi="ar-SA"/>
              </w:rPr>
              <w:t>Control</w:t>
            </w:r>
          </w:p>
        </w:tc>
      </w:tr>
      <w:tr>
        <w:trPr/>
        <w:tc>
          <w:tcPr>
            <w:tcW w:w="1900" w:type="dxa"/>
            <w:tcBorders/>
          </w:tcPr>
          <w:p>
            <w:pPr>
              <w:pStyle w:val="Normal"/>
              <w:widowControl/>
              <w:bidi w:val="0"/>
              <w:spacing w:before="0" w:after="100"/>
              <w:jc w:val="start"/>
              <w:rPr>
                <w:rFonts w:eastAsia="ＭＳ 明朝" w:cs=""/>
                <w:kern w:val="0"/>
                <w:szCs w:val="22"/>
                <w:lang w:val="en-US" w:eastAsia="en-US" w:bidi="ar-SA"/>
              </w:rPr>
            </w:pPr>
            <w:r>
              <w:rPr>
                <w:rFonts w:eastAsia="ＭＳ 明朝" w:cs="" w:ascii="Aptos" w:hAnsi="Aptos"/>
                <w:b/>
                <w:i w:val="false"/>
                <w:color w:val="132B3F"/>
                <w:kern w:val="0"/>
                <w:sz w:val="17"/>
                <w:szCs w:val="22"/>
                <w:lang w:val="en-US" w:eastAsia="en-US" w:bidi="ar-SA"/>
              </w:rPr>
              <w:t>Strictly necessary</w:t>
            </w:r>
          </w:p>
        </w:tc>
        <w:tc>
          <w:tcPr>
            <w:tcW w:w="4799" w:type="dxa"/>
            <w:tcBorders/>
          </w:tcPr>
          <w:p>
            <w:pPr>
              <w:pStyle w:val="Normal"/>
              <w:widowControl/>
              <w:bidi w:val="0"/>
              <w:spacing w:before="0" w:after="100"/>
              <w:jc w:val="start"/>
              <w:rPr>
                <w:rFonts w:eastAsia="ＭＳ 明朝" w:cs=""/>
                <w:kern w:val="0"/>
                <w:szCs w:val="22"/>
                <w:lang w:val="en-US" w:eastAsia="en-US" w:bidi="ar-SA"/>
              </w:rPr>
            </w:pPr>
            <w:r>
              <w:rPr>
                <w:rFonts w:eastAsia="ＭＳ 明朝" w:cs="" w:ascii="Aptos" w:hAnsi="Aptos"/>
                <w:b w:val="false"/>
                <w:i w:val="false"/>
                <w:color w:val="000000"/>
                <w:kern w:val="0"/>
                <w:sz w:val="17"/>
                <w:szCs w:val="22"/>
                <w:lang w:val="en-US" w:eastAsia="en-US" w:bidi="ar-SA"/>
              </w:rPr>
              <w:t>Cart, checkout, authentication, security, load balancing, fraud prevention, and requested Site functions.</w:t>
            </w:r>
          </w:p>
        </w:tc>
        <w:tc>
          <w:tcPr>
            <w:tcW w:w="2661" w:type="dxa"/>
            <w:tcBorders/>
          </w:tcPr>
          <w:p>
            <w:pPr>
              <w:pStyle w:val="Normal"/>
              <w:widowControl/>
              <w:bidi w:val="0"/>
              <w:spacing w:before="0" w:after="100"/>
              <w:jc w:val="start"/>
              <w:rPr>
                <w:rFonts w:eastAsia="ＭＳ 明朝" w:cs=""/>
                <w:kern w:val="0"/>
                <w:szCs w:val="22"/>
                <w:lang w:val="en-US" w:eastAsia="en-US" w:bidi="ar-SA"/>
              </w:rPr>
            </w:pPr>
            <w:r>
              <w:rPr>
                <w:rFonts w:eastAsia="ＭＳ 明朝" w:cs="" w:ascii="Aptos" w:hAnsi="Aptos"/>
                <w:b w:val="false"/>
                <w:i w:val="false"/>
                <w:color w:val="000000"/>
                <w:kern w:val="0"/>
                <w:sz w:val="17"/>
                <w:szCs w:val="22"/>
                <w:lang w:val="en-US" w:eastAsia="en-US" w:bidi="ar-SA"/>
              </w:rPr>
              <w:t>Generally cannot be disabled through our banner.</w:t>
            </w:r>
          </w:p>
        </w:tc>
      </w:tr>
      <w:tr>
        <w:trPr/>
        <w:tc>
          <w:tcPr>
            <w:tcW w:w="1900" w:type="dxa"/>
            <w:tcBorders/>
          </w:tcPr>
          <w:p>
            <w:pPr>
              <w:pStyle w:val="Normal"/>
              <w:widowControl/>
              <w:bidi w:val="0"/>
              <w:spacing w:before="0" w:after="100"/>
              <w:jc w:val="start"/>
              <w:rPr>
                <w:rFonts w:eastAsia="ＭＳ 明朝" w:cs=""/>
                <w:kern w:val="0"/>
                <w:szCs w:val="22"/>
                <w:lang w:val="en-US" w:eastAsia="en-US" w:bidi="ar-SA"/>
              </w:rPr>
            </w:pPr>
            <w:r>
              <w:rPr>
                <w:rFonts w:eastAsia="ＭＳ 明朝" w:cs="" w:ascii="Aptos" w:hAnsi="Aptos"/>
                <w:b/>
                <w:i w:val="false"/>
                <w:color w:val="132B3F"/>
                <w:kern w:val="0"/>
                <w:sz w:val="17"/>
                <w:szCs w:val="22"/>
                <w:lang w:val="en-US" w:eastAsia="en-US" w:bidi="ar-SA"/>
              </w:rPr>
              <w:t>Functional</w:t>
            </w:r>
          </w:p>
        </w:tc>
        <w:tc>
          <w:tcPr>
            <w:tcW w:w="4799" w:type="dxa"/>
            <w:tcBorders/>
          </w:tcPr>
          <w:p>
            <w:pPr>
              <w:pStyle w:val="Normal"/>
              <w:widowControl/>
              <w:bidi w:val="0"/>
              <w:spacing w:before="0" w:after="100"/>
              <w:jc w:val="start"/>
              <w:rPr>
                <w:rFonts w:eastAsia="ＭＳ 明朝" w:cs=""/>
                <w:kern w:val="0"/>
                <w:szCs w:val="22"/>
                <w:lang w:val="en-US" w:eastAsia="en-US" w:bidi="ar-SA"/>
              </w:rPr>
            </w:pPr>
            <w:r>
              <w:rPr>
                <w:rFonts w:eastAsia="ＭＳ 明朝" w:cs="" w:ascii="Aptos" w:hAnsi="Aptos"/>
                <w:b w:val="false"/>
                <w:i w:val="false"/>
                <w:color w:val="000000"/>
                <w:kern w:val="0"/>
                <w:sz w:val="17"/>
                <w:szCs w:val="22"/>
                <w:lang w:val="en-US" w:eastAsia="en-US" w:bidi="ar-SA"/>
              </w:rPr>
              <w:t>Remember settings, account preferences, region, and user-interface choices.</w:t>
            </w:r>
          </w:p>
        </w:tc>
        <w:tc>
          <w:tcPr>
            <w:tcW w:w="2661" w:type="dxa"/>
            <w:tcBorders/>
          </w:tcPr>
          <w:p>
            <w:pPr>
              <w:pStyle w:val="Normal"/>
              <w:widowControl/>
              <w:bidi w:val="0"/>
              <w:spacing w:before="0" w:after="100"/>
              <w:jc w:val="start"/>
              <w:rPr>
                <w:rFonts w:eastAsia="ＭＳ 明朝" w:cs=""/>
                <w:kern w:val="0"/>
                <w:szCs w:val="22"/>
                <w:lang w:val="en-US" w:eastAsia="en-US" w:bidi="ar-SA"/>
              </w:rPr>
            </w:pPr>
            <w:r>
              <w:rPr>
                <w:rFonts w:eastAsia="ＭＳ 明朝" w:cs="" w:ascii="Aptos" w:hAnsi="Aptos"/>
                <w:b w:val="false"/>
                <w:i w:val="false"/>
                <w:color w:val="000000"/>
                <w:kern w:val="0"/>
                <w:sz w:val="17"/>
                <w:szCs w:val="22"/>
                <w:lang w:val="en-US" w:eastAsia="en-US" w:bidi="ar-SA"/>
              </w:rPr>
              <w:t>Consent or settings where required.</w:t>
            </w:r>
          </w:p>
        </w:tc>
      </w:tr>
      <w:tr>
        <w:trPr/>
        <w:tc>
          <w:tcPr>
            <w:tcW w:w="1900" w:type="dxa"/>
            <w:tcBorders/>
          </w:tcPr>
          <w:p>
            <w:pPr>
              <w:pStyle w:val="Normal"/>
              <w:widowControl/>
              <w:bidi w:val="0"/>
              <w:spacing w:before="0" w:after="100"/>
              <w:jc w:val="start"/>
              <w:rPr>
                <w:rFonts w:eastAsia="ＭＳ 明朝" w:cs=""/>
                <w:kern w:val="0"/>
                <w:szCs w:val="22"/>
                <w:lang w:val="en-US" w:eastAsia="en-US" w:bidi="ar-SA"/>
              </w:rPr>
            </w:pPr>
            <w:r>
              <w:rPr>
                <w:rFonts w:eastAsia="ＭＳ 明朝" w:cs="" w:ascii="Aptos" w:hAnsi="Aptos"/>
                <w:b/>
                <w:i w:val="false"/>
                <w:color w:val="132B3F"/>
                <w:kern w:val="0"/>
                <w:sz w:val="17"/>
                <w:szCs w:val="22"/>
                <w:lang w:val="en-US" w:eastAsia="en-US" w:bidi="ar-SA"/>
              </w:rPr>
              <w:t>Analytics</w:t>
            </w:r>
          </w:p>
        </w:tc>
        <w:tc>
          <w:tcPr>
            <w:tcW w:w="4799" w:type="dxa"/>
            <w:tcBorders/>
          </w:tcPr>
          <w:p>
            <w:pPr>
              <w:pStyle w:val="Normal"/>
              <w:widowControl/>
              <w:bidi w:val="0"/>
              <w:spacing w:before="0" w:after="100"/>
              <w:jc w:val="start"/>
              <w:rPr>
                <w:rFonts w:eastAsia="ＭＳ 明朝" w:cs=""/>
                <w:kern w:val="0"/>
                <w:szCs w:val="22"/>
                <w:lang w:val="en-US" w:eastAsia="en-US" w:bidi="ar-SA"/>
              </w:rPr>
            </w:pPr>
            <w:r>
              <w:rPr>
                <w:rFonts w:eastAsia="ＭＳ 明朝" w:cs="" w:ascii="Aptos" w:hAnsi="Aptos"/>
                <w:b w:val="false"/>
                <w:i w:val="false"/>
                <w:color w:val="000000"/>
                <w:kern w:val="0"/>
                <w:sz w:val="17"/>
                <w:szCs w:val="22"/>
                <w:lang w:val="en-US" w:eastAsia="en-US" w:bidi="ar-SA"/>
              </w:rPr>
              <w:t>Measure visits, pages, traffic sources, performance, errors, and aggregate use.</w:t>
            </w:r>
          </w:p>
        </w:tc>
        <w:tc>
          <w:tcPr>
            <w:tcW w:w="2661" w:type="dxa"/>
            <w:tcBorders/>
          </w:tcPr>
          <w:p>
            <w:pPr>
              <w:pStyle w:val="Normal"/>
              <w:widowControl/>
              <w:bidi w:val="0"/>
              <w:spacing w:before="0" w:after="100"/>
              <w:jc w:val="start"/>
              <w:rPr>
                <w:rFonts w:eastAsia="ＭＳ 明朝" w:cs=""/>
                <w:kern w:val="0"/>
                <w:szCs w:val="22"/>
                <w:lang w:val="en-US" w:eastAsia="en-US" w:bidi="ar-SA"/>
              </w:rPr>
            </w:pPr>
            <w:r>
              <w:rPr>
                <w:rFonts w:eastAsia="ＭＳ 明朝" w:cs="" w:ascii="Aptos" w:hAnsi="Aptos"/>
                <w:b w:val="false"/>
                <w:i w:val="false"/>
                <w:color w:val="000000"/>
                <w:kern w:val="0"/>
                <w:sz w:val="17"/>
                <w:szCs w:val="22"/>
                <w:lang w:val="en-US" w:eastAsia="en-US" w:bidi="ar-SA"/>
              </w:rPr>
              <w:t>Consent or opt-out where required.</w:t>
            </w:r>
          </w:p>
        </w:tc>
      </w:tr>
      <w:tr>
        <w:trPr/>
        <w:tc>
          <w:tcPr>
            <w:tcW w:w="1900" w:type="dxa"/>
            <w:tcBorders/>
          </w:tcPr>
          <w:p>
            <w:pPr>
              <w:pStyle w:val="Normal"/>
              <w:widowControl/>
              <w:bidi w:val="0"/>
              <w:spacing w:before="0" w:after="100"/>
              <w:jc w:val="start"/>
              <w:rPr>
                <w:rFonts w:eastAsia="ＭＳ 明朝" w:cs=""/>
                <w:kern w:val="0"/>
                <w:szCs w:val="22"/>
                <w:lang w:val="en-US" w:eastAsia="en-US" w:bidi="ar-SA"/>
              </w:rPr>
            </w:pPr>
            <w:r>
              <w:rPr>
                <w:rFonts w:eastAsia="ＭＳ 明朝" w:cs="" w:ascii="Aptos" w:hAnsi="Aptos"/>
                <w:b/>
                <w:i w:val="false"/>
                <w:color w:val="132B3F"/>
                <w:kern w:val="0"/>
                <w:sz w:val="17"/>
                <w:szCs w:val="22"/>
                <w:lang w:val="en-US" w:eastAsia="en-US" w:bidi="ar-SA"/>
              </w:rPr>
              <w:t>Advertising</w:t>
            </w:r>
          </w:p>
        </w:tc>
        <w:tc>
          <w:tcPr>
            <w:tcW w:w="4799" w:type="dxa"/>
            <w:tcBorders/>
          </w:tcPr>
          <w:p>
            <w:pPr>
              <w:pStyle w:val="Normal"/>
              <w:widowControl/>
              <w:bidi w:val="0"/>
              <w:spacing w:before="0" w:after="100"/>
              <w:jc w:val="start"/>
              <w:rPr>
                <w:rFonts w:eastAsia="ＭＳ 明朝" w:cs=""/>
                <w:kern w:val="0"/>
                <w:szCs w:val="22"/>
                <w:lang w:val="en-US" w:eastAsia="en-US" w:bidi="ar-SA"/>
              </w:rPr>
            </w:pPr>
            <w:r>
              <w:rPr>
                <w:rFonts w:eastAsia="ＭＳ 明朝" w:cs="" w:ascii="Aptos" w:hAnsi="Aptos"/>
                <w:b w:val="false"/>
                <w:i w:val="false"/>
                <w:color w:val="000000"/>
                <w:kern w:val="0"/>
                <w:sz w:val="17"/>
                <w:szCs w:val="22"/>
                <w:lang w:val="en-US" w:eastAsia="en-US" w:bidi="ar-SA"/>
              </w:rPr>
              <w:t>Measure campaigns, limit repetition, build audiences, or support interest-based advertising.</w:t>
            </w:r>
          </w:p>
        </w:tc>
        <w:tc>
          <w:tcPr>
            <w:tcW w:w="2661" w:type="dxa"/>
            <w:tcBorders/>
          </w:tcPr>
          <w:p>
            <w:pPr>
              <w:pStyle w:val="Normal"/>
              <w:widowControl/>
              <w:bidi w:val="0"/>
              <w:spacing w:before="0" w:after="100"/>
              <w:jc w:val="start"/>
              <w:rPr>
                <w:rFonts w:eastAsia="ＭＳ 明朝" w:cs=""/>
                <w:kern w:val="0"/>
                <w:szCs w:val="22"/>
                <w:lang w:val="en-US" w:eastAsia="en-US" w:bidi="ar-SA"/>
              </w:rPr>
            </w:pPr>
            <w:r>
              <w:rPr>
                <w:rFonts w:eastAsia="ＭＳ 明朝" w:cs="" w:ascii="Aptos" w:hAnsi="Aptos"/>
                <w:b w:val="false"/>
                <w:i w:val="false"/>
                <w:color w:val="000000"/>
                <w:kern w:val="0"/>
                <w:sz w:val="17"/>
                <w:szCs w:val="22"/>
                <w:lang w:val="en-US" w:eastAsia="en-US" w:bidi="ar-SA"/>
              </w:rPr>
              <w:t>Consent or opt-out where required.</w:t>
            </w:r>
          </w:p>
        </w:tc>
      </w:tr>
    </w:tbl>
    <w:p>
      <w:pPr>
        <w:pStyle w:val="Normal"/>
        <w:bidi w:val="0"/>
        <w:spacing w:before="0" w:after="40"/>
        <w:jc w:val="start"/>
        <w:rPr/>
      </w:pPr>
      <w:r>
        <w:rPr/>
      </w:r>
    </w:p>
    <w:p>
      <w:pPr>
        <w:pStyle w:val="Heading2"/>
        <w:keepNext w:val="true"/>
        <w:bidi w:val="0"/>
        <w:jc w:val="start"/>
        <w:rPr/>
      </w:pPr>
      <w:r>
        <w:rPr/>
        <w:t>Your controls</w:t>
      </w:r>
    </w:p>
    <w:p>
      <w:pPr>
        <w:pStyle w:val="BodyText"/>
        <w:keepLines/>
        <w:bidi w:val="0"/>
        <w:jc w:val="start"/>
        <w:rPr/>
      </w:pPr>
      <w:r>
        <w:rPr>
          <w:rFonts w:ascii="Aptos" w:hAnsi="Aptos"/>
          <w:b w:val="false"/>
          <w:i w:val="false"/>
          <w:color w:val="000000"/>
          <w:sz w:val="20"/>
        </w:rPr>
        <w:t>Use the Site's cookie settings where available or adjust your browser to block or delete cookies. Blocking necessary cookies may prevent checkout, login, cart, or security functions. Where required, we honor legally recognized opt-out preference signals. Third-party tools may also provide their own controls.</w:t>
      </w:r>
    </w:p>
    <w:p>
      <w:pPr>
        <w:pStyle w:val="Heading2"/>
        <w:keepNext w:val="true"/>
        <w:bidi w:val="0"/>
        <w:jc w:val="start"/>
        <w:rPr/>
      </w:pPr>
      <w:r>
        <w:rPr/>
        <w:t>Cookie inventory</w:t>
      </w:r>
    </w:p>
    <w:p>
      <w:pPr>
        <w:pStyle w:val="BodyText"/>
        <w:keepLines/>
        <w:bidi w:val="0"/>
        <w:spacing w:before="0" w:after="140"/>
        <w:jc w:val="start"/>
        <w:rPr/>
      </w:pPr>
      <w:r>
        <w:rPr>
          <w:rFonts w:ascii="Aptos" w:hAnsi="Aptos"/>
          <w:b w:val="false"/>
          <w:i w:val="false"/>
          <w:color w:val="000000"/>
          <w:sz w:val="20"/>
        </w:rPr>
        <w:t>Cookie names, providers, purposes, and durations change as the Site is updated. The consent platform or cookie settings panel should display the current inventory. This policy must be reviewed whenever a new analytics, advertising, chat, payment, video, map, social, or embedded-content tool is added.</w:t>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Liberation Sans">
    <w:altName w:val="Arial"/>
    <w:charset w:val="00" w:characterSet="windows-1252"/>
    <w:family w:val="swiss"/>
    <w:pitch w:val="variable"/>
  </w:font>
  <w:font w:name="Aptos">
    <w:charset w:val="00" w:characterSet="windows-1252"/>
    <w:family w:val="roman"/>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paragraph" w:styleId="Heading1">
    <w:name w:val="heading 1"/>
    <w:basedOn w:val="Normal"/>
    <w:next w:val="Normal"/>
    <w:qFormat/>
    <w:pPr>
      <w:keepNext w:val="true"/>
      <w:keepLines/>
      <w:spacing w:before="280" w:after="140"/>
      <w:outlineLvl w:val="0"/>
    </w:pPr>
    <w:rPr>
      <w:rFonts w:ascii="Calibri" w:hAnsi="Calibri" w:eastAsia="ＭＳ ゴシック" w:cs="" w:asciiTheme="majorHAnsi" w:cstheme="majorBidi" w:eastAsiaTheme="majorEastAsia" w:hAnsiTheme="majorHAnsi"/>
      <w:b/>
      <w:bCs/>
      <w:color w:val="132B3F"/>
      <w:sz w:val="34"/>
      <w:szCs w:val="28"/>
    </w:rPr>
  </w:style>
  <w:style w:type="paragraph" w:styleId="Heading2">
    <w:name w:val="heading 2"/>
    <w:basedOn w:val="Normal"/>
    <w:next w:val="Normal"/>
    <w:qFormat/>
    <w:pPr>
      <w:keepNext w:val="true"/>
      <w:keepLines/>
      <w:spacing w:before="180" w:after="80"/>
      <w:outlineLvl w:val="1"/>
    </w:pPr>
    <w:rPr>
      <w:rFonts w:ascii="Calibri" w:hAnsi="Calibri" w:eastAsia="ＭＳ ゴシック" w:cs="" w:asciiTheme="majorHAnsi" w:cstheme="majorBidi" w:eastAsiaTheme="majorEastAsia" w:hAnsiTheme="majorHAnsi"/>
      <w:b/>
      <w:bCs/>
      <w:color w:val="132B3F"/>
      <w:sz w:val="25"/>
      <w:szCs w:val="26"/>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1</Pages>
  <Words>229</Words>
  <Characters>1486</Characters>
  <CharactersWithSpaces>1692</CharactersWithSpaces>
  <Paragraphs>24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2026-09-01T13:43:33Z</dcterms:created>
  <dc:creator/>
  <dc:description/>
  <dc:language>en-US</dc:language>
  <cp:lastModifiedBy/>
  <dcterms:modified xsi:type="dcterms:W3CDTF">2026-09-01T13:43:42Z</dcterms:modified>
  <cp:revision>1</cp:revision>
  <dc:subject/>
  <dc:title/>
</cp:coreProperties>
</file>